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B542E3" w14:textId="3CD655A3" w:rsidR="00D82798" w:rsidRDefault="00D82798" w:rsidP="3E61DC49">
      <w:pPr>
        <w:pStyle w:val="Header"/>
        <w:tabs>
          <w:tab w:val="right" w:pos="9630"/>
        </w:tabs>
        <w:rPr>
          <w:noProof w:val="0"/>
          <w:sz w:val="24"/>
          <w:szCs w:val="24"/>
          <w:lang w:val="en-GB"/>
        </w:rPr>
      </w:pPr>
      <w:bookmarkStart w:id="0" w:name="_GoBack"/>
      <w:bookmarkEnd w:id="0"/>
      <w:r w:rsidRPr="3E61DC49">
        <w:rPr>
          <w:noProof w:val="0"/>
          <w:sz w:val="24"/>
          <w:szCs w:val="24"/>
          <w:lang w:val="en-GB"/>
        </w:rPr>
        <w:t>3GPP TSG RAN WG1</w:t>
      </w:r>
      <w:r w:rsidR="00D627E3" w:rsidRPr="3E61DC49">
        <w:rPr>
          <w:noProof w:val="0"/>
          <w:sz w:val="24"/>
          <w:szCs w:val="24"/>
          <w:lang w:val="en-GB"/>
        </w:rPr>
        <w:t xml:space="preserve"> </w:t>
      </w:r>
      <w:r w:rsidR="004C1096" w:rsidRPr="3E61DC49">
        <w:rPr>
          <w:noProof w:val="0"/>
          <w:sz w:val="24"/>
          <w:szCs w:val="24"/>
          <w:lang w:val="en-GB"/>
        </w:rPr>
        <w:t>NRAH#3</w:t>
      </w:r>
      <w:r w:rsidR="00EF54D1">
        <w:rPr>
          <w:noProof w:val="0"/>
          <w:sz w:val="24"/>
          <w:lang w:val="en-GB"/>
        </w:rPr>
        <w:tab/>
      </w:r>
      <w:r w:rsidR="00FF2D5B" w:rsidRPr="3E61DC49">
        <w:rPr>
          <w:noProof w:val="0"/>
          <w:sz w:val="24"/>
          <w:szCs w:val="24"/>
          <w:lang w:val="en-GB"/>
        </w:rPr>
        <w:t>R1-</w:t>
      </w:r>
      <w:r w:rsidR="004C1096" w:rsidRPr="3E61DC49">
        <w:rPr>
          <w:noProof w:val="0"/>
          <w:sz w:val="24"/>
          <w:szCs w:val="24"/>
          <w:lang w:val="en-GB"/>
        </w:rPr>
        <w:t>171</w:t>
      </w:r>
      <w:r w:rsidR="000717FB">
        <w:rPr>
          <w:noProof w:val="0"/>
          <w:sz w:val="24"/>
          <w:szCs w:val="24"/>
          <w:lang w:val="en-GB"/>
        </w:rPr>
        <w:t>5545</w:t>
      </w:r>
    </w:p>
    <w:p w14:paraId="67DB2173" w14:textId="610A2BD9" w:rsidR="00A91C7F" w:rsidRPr="00461210" w:rsidRDefault="3E61DC49" w:rsidP="3E61DC49">
      <w:pPr>
        <w:pStyle w:val="Header"/>
        <w:tabs>
          <w:tab w:val="right" w:pos="9639"/>
        </w:tabs>
        <w:rPr>
          <w:noProof w:val="0"/>
          <w:sz w:val="24"/>
          <w:szCs w:val="24"/>
          <w:lang w:val="en-GB"/>
        </w:rPr>
      </w:pPr>
      <w:r w:rsidRPr="3E61DC49">
        <w:rPr>
          <w:noProof w:val="0"/>
          <w:sz w:val="24"/>
          <w:szCs w:val="24"/>
          <w:lang w:val="en-GB"/>
        </w:rPr>
        <w:t>Nagoya, Japan, 18th-21st September 2017</w:t>
      </w:r>
    </w:p>
    <w:p w14:paraId="30E02940" w14:textId="77777777" w:rsidR="00CA26CE" w:rsidRPr="0016316A" w:rsidRDefault="00CA26CE" w:rsidP="00CA26CE">
      <w:pPr>
        <w:pStyle w:val="Header"/>
        <w:rPr>
          <w:bCs/>
          <w:noProof w:val="0"/>
          <w:sz w:val="24"/>
          <w:lang w:val="en-GB" w:eastAsia="ja-JP"/>
        </w:rPr>
      </w:pPr>
    </w:p>
    <w:p w14:paraId="30E02941" w14:textId="3237939B" w:rsidR="0034111C" w:rsidRPr="001E5981" w:rsidRDefault="0034111C" w:rsidP="3E61DC49">
      <w:pPr>
        <w:pStyle w:val="CRCoverPage"/>
        <w:rPr>
          <w:rFonts w:cs="Arial"/>
          <w:b/>
          <w:bCs/>
          <w:sz w:val="24"/>
          <w:szCs w:val="24"/>
          <w:lang w:val="en-US" w:eastAsia="ja-JP"/>
        </w:rPr>
      </w:pPr>
      <w:r w:rsidRPr="3E61DC49">
        <w:rPr>
          <w:rFonts w:cs="Arial"/>
          <w:b/>
          <w:bCs/>
          <w:sz w:val="24"/>
          <w:szCs w:val="24"/>
        </w:rPr>
        <w:t>Agenda item:</w:t>
      </w:r>
      <w:r w:rsidRPr="0016316A">
        <w:rPr>
          <w:rFonts w:cs="Arial"/>
          <w:b/>
          <w:bCs/>
          <w:sz w:val="24"/>
        </w:rPr>
        <w:tab/>
      </w:r>
      <w:r w:rsidRPr="0016316A">
        <w:rPr>
          <w:rFonts w:cs="Arial"/>
          <w:b/>
          <w:bCs/>
          <w:sz w:val="24"/>
        </w:rPr>
        <w:tab/>
      </w:r>
      <w:r w:rsidR="0052773A" w:rsidRPr="3E61DC49">
        <w:rPr>
          <w:rFonts w:cs="Arial"/>
          <w:b/>
          <w:bCs/>
          <w:sz w:val="24"/>
          <w:szCs w:val="24"/>
        </w:rPr>
        <w:t>6.3.3.1</w:t>
      </w:r>
    </w:p>
    <w:p w14:paraId="30E02942" w14:textId="11CBDC88" w:rsidR="00E128F2" w:rsidRPr="001E5981" w:rsidRDefault="0034111C" w:rsidP="10E807B4">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5D0B19A3" w:rsidR="0034111C" w:rsidRPr="0016316A" w:rsidRDefault="0034111C" w:rsidP="10E807B4">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FF2D5B" w:rsidRPr="3E61DC49">
        <w:rPr>
          <w:rFonts w:ascii="Arial" w:hAnsi="Arial" w:cs="Arial"/>
          <w:b/>
          <w:bCs/>
          <w:sz w:val="24"/>
          <w:szCs w:val="24"/>
        </w:rPr>
        <w:t xml:space="preserve">On </w:t>
      </w:r>
      <w:r w:rsidR="002C5510" w:rsidRPr="3E61DC49">
        <w:rPr>
          <w:rFonts w:ascii="Arial" w:hAnsi="Arial" w:cs="Arial"/>
          <w:b/>
          <w:bCs/>
          <w:sz w:val="24"/>
          <w:szCs w:val="24"/>
        </w:rPr>
        <w:t>resource allocation</w:t>
      </w:r>
      <w:r w:rsidR="008359EB" w:rsidRPr="3E61DC49">
        <w:rPr>
          <w:rFonts w:ascii="Arial" w:hAnsi="Arial" w:cs="Arial"/>
          <w:b/>
          <w:bCs/>
          <w:sz w:val="24"/>
          <w:szCs w:val="24"/>
        </w:rPr>
        <w:t xml:space="preserve"> </w:t>
      </w:r>
      <w:r w:rsidR="00D627E3" w:rsidRPr="3E61DC49">
        <w:rPr>
          <w:rFonts w:ascii="Arial" w:hAnsi="Arial" w:cs="Arial"/>
          <w:b/>
          <w:bCs/>
          <w:sz w:val="24"/>
          <w:szCs w:val="24"/>
        </w:rPr>
        <w:t>for PDSCH and</w:t>
      </w:r>
      <w:r w:rsidR="00C11ADE" w:rsidRPr="3E61DC49">
        <w:rPr>
          <w:rFonts w:ascii="Arial" w:hAnsi="Arial" w:cs="Arial"/>
          <w:b/>
          <w:bCs/>
          <w:sz w:val="24"/>
          <w:szCs w:val="24"/>
        </w:rPr>
        <w:t xml:space="preserve"> PUSCH </w:t>
      </w:r>
      <w:r w:rsidR="008359EB" w:rsidRPr="3E61DC49">
        <w:rPr>
          <w:rFonts w:ascii="Arial" w:hAnsi="Arial" w:cs="Arial"/>
          <w:b/>
          <w:bCs/>
          <w:sz w:val="24"/>
          <w:szCs w:val="24"/>
        </w:rPr>
        <w:t>in NR</w:t>
      </w:r>
      <w:r w:rsidR="00AA5DF4" w:rsidRPr="3E61DC49">
        <w:rPr>
          <w:rFonts w:ascii="Arial" w:hAnsi="Arial" w:cs="Arial"/>
          <w:b/>
          <w:bCs/>
          <w:sz w:val="24"/>
          <w:szCs w:val="24"/>
        </w:rPr>
        <w:t xml:space="preserve"> </w:t>
      </w:r>
    </w:p>
    <w:p w14:paraId="30E02944" w14:textId="60B6B0C7" w:rsidR="0034111C" w:rsidRPr="0016316A" w:rsidRDefault="0034111C" w:rsidP="10E807B4">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30E02945" w14:textId="77777777" w:rsidR="0034111C" w:rsidRPr="0016316A" w:rsidRDefault="0034111C">
      <w:pPr>
        <w:pStyle w:val="Heading1"/>
      </w:pPr>
      <w:r w:rsidRPr="0016316A">
        <w:t>1</w:t>
      </w:r>
      <w:r w:rsidRPr="0016316A">
        <w:tab/>
      </w:r>
      <w:r w:rsidR="00EE7FA7" w:rsidRPr="0016316A">
        <w:t>Introduction</w:t>
      </w:r>
    </w:p>
    <w:p w14:paraId="1ED867CD" w14:textId="44182272" w:rsidR="000717FB" w:rsidRPr="000717FB" w:rsidRDefault="00AE61B2" w:rsidP="000717FB">
      <w:pPr>
        <w:spacing w:after="120"/>
        <w:jc w:val="both"/>
        <w:rPr>
          <w:lang w:val="en-US"/>
        </w:rPr>
      </w:pPr>
      <w:r w:rsidRPr="007B0ADB">
        <w:rPr>
          <w:lang w:val="en-US"/>
        </w:rPr>
        <w:t xml:space="preserve">In this contribution, we discuss </w:t>
      </w:r>
      <w:r w:rsidR="00C11ADE" w:rsidRPr="007B0ADB">
        <w:rPr>
          <w:lang w:val="en-US"/>
        </w:rPr>
        <w:t xml:space="preserve">the </w:t>
      </w:r>
      <w:r w:rsidR="00E67802">
        <w:rPr>
          <w:lang w:val="en-US"/>
        </w:rPr>
        <w:t xml:space="preserve">remaining issues </w:t>
      </w:r>
      <w:r w:rsidR="00BD4E05">
        <w:rPr>
          <w:lang w:val="en-US"/>
        </w:rPr>
        <w:t xml:space="preserve">of </w:t>
      </w:r>
      <w:r w:rsidR="0052773A">
        <w:rPr>
          <w:lang w:val="en-US"/>
        </w:rPr>
        <w:t>the following topics:</w:t>
      </w:r>
    </w:p>
    <w:p w14:paraId="62638A60" w14:textId="77777777" w:rsidR="000717FB" w:rsidRPr="000717FB" w:rsidRDefault="000717FB" w:rsidP="000717FB">
      <w:pPr>
        <w:pStyle w:val="ListParagraph"/>
        <w:numPr>
          <w:ilvl w:val="0"/>
          <w:numId w:val="47"/>
        </w:numPr>
        <w:rPr>
          <w:sz w:val="20"/>
          <w:szCs w:val="20"/>
          <w:lang w:val="en-US"/>
        </w:rPr>
      </w:pPr>
      <w:r w:rsidRPr="000717FB">
        <w:rPr>
          <w:sz w:val="20"/>
          <w:szCs w:val="20"/>
          <w:lang w:val="en-US"/>
        </w:rPr>
        <w:t>Resource allocation in frequency domain for both PDSCH and PUSCH</w:t>
      </w:r>
    </w:p>
    <w:p w14:paraId="220D8D23" w14:textId="7B87DA18" w:rsidR="0052773A" w:rsidRPr="0052773A" w:rsidRDefault="3E61DC49" w:rsidP="3E61DC49">
      <w:pPr>
        <w:pStyle w:val="ListParagraph"/>
        <w:numPr>
          <w:ilvl w:val="0"/>
          <w:numId w:val="47"/>
        </w:numPr>
        <w:spacing w:after="120"/>
        <w:jc w:val="both"/>
        <w:rPr>
          <w:sz w:val="20"/>
          <w:szCs w:val="20"/>
          <w:lang w:val="en-US"/>
        </w:rPr>
      </w:pPr>
      <w:r w:rsidRPr="3E61DC49">
        <w:rPr>
          <w:sz w:val="20"/>
          <w:szCs w:val="20"/>
          <w:lang w:val="en-US"/>
        </w:rPr>
        <w:t>Minimum and maximum scheduling interval</w:t>
      </w:r>
    </w:p>
    <w:p w14:paraId="7CEC4E41" w14:textId="4DA5B6AA" w:rsidR="0052773A" w:rsidRPr="0052773A" w:rsidRDefault="1A219784" w:rsidP="1A219784">
      <w:pPr>
        <w:pStyle w:val="ListParagraph"/>
        <w:numPr>
          <w:ilvl w:val="0"/>
          <w:numId w:val="47"/>
        </w:numPr>
        <w:spacing w:after="120"/>
        <w:jc w:val="both"/>
        <w:rPr>
          <w:sz w:val="20"/>
          <w:szCs w:val="20"/>
          <w:lang w:val="en-US"/>
        </w:rPr>
      </w:pPr>
      <w:r w:rsidRPr="3E61DC49">
        <w:rPr>
          <w:sz w:val="20"/>
          <w:szCs w:val="20"/>
          <w:lang w:val="en-US"/>
        </w:rPr>
        <w:t>Scheduling</w:t>
      </w:r>
      <w:r w:rsidR="0052773A" w:rsidRPr="3E61DC49">
        <w:rPr>
          <w:sz w:val="20"/>
          <w:szCs w:val="20"/>
          <w:lang w:val="en-US"/>
        </w:rPr>
        <w:t xml:space="preserve"> timing</w:t>
      </w:r>
      <w:r w:rsidR="00FF0F67" w:rsidRPr="3E61DC49">
        <w:rPr>
          <w:sz w:val="20"/>
          <w:szCs w:val="20"/>
          <w:lang w:val="en-US"/>
        </w:rPr>
        <w:t xml:space="preserve"> for both PDSCH and PUSCH</w:t>
      </w:r>
    </w:p>
    <w:p w14:paraId="0E6E3854" w14:textId="5B57D75C" w:rsidR="0052773A" w:rsidRDefault="0052773A" w:rsidP="10E807B4">
      <w:pPr>
        <w:pStyle w:val="ListParagraph"/>
        <w:numPr>
          <w:ilvl w:val="0"/>
          <w:numId w:val="47"/>
        </w:numPr>
        <w:spacing w:after="120"/>
        <w:jc w:val="both"/>
        <w:rPr>
          <w:sz w:val="20"/>
          <w:szCs w:val="20"/>
          <w:lang w:val="en-US"/>
        </w:rPr>
      </w:pPr>
      <w:r w:rsidRPr="3E61DC49">
        <w:rPr>
          <w:sz w:val="20"/>
          <w:szCs w:val="20"/>
          <w:lang w:val="en-US"/>
        </w:rPr>
        <w:t>PDSCH/PUSCH transmission duration</w:t>
      </w:r>
    </w:p>
    <w:p w14:paraId="055833CB" w14:textId="04834A93" w:rsidR="00AE61B2" w:rsidRPr="0052773A" w:rsidRDefault="3E61DC49" w:rsidP="3E61DC49">
      <w:pPr>
        <w:pStyle w:val="ListParagraph"/>
        <w:numPr>
          <w:ilvl w:val="0"/>
          <w:numId w:val="47"/>
        </w:numPr>
        <w:spacing w:after="120"/>
        <w:jc w:val="both"/>
        <w:rPr>
          <w:sz w:val="20"/>
          <w:szCs w:val="20"/>
          <w:lang w:val="en-US"/>
        </w:rPr>
      </w:pPr>
      <w:r w:rsidRPr="3E61DC49">
        <w:rPr>
          <w:sz w:val="20"/>
          <w:szCs w:val="20"/>
          <w:lang w:val="en-US"/>
        </w:rPr>
        <w:t>TBS determination.</w:t>
      </w:r>
    </w:p>
    <w:p w14:paraId="30E0296E" w14:textId="6B31B843" w:rsidR="004B23AD" w:rsidRDefault="008D4B8A" w:rsidP="004B23AD">
      <w:pPr>
        <w:pStyle w:val="Heading1"/>
      </w:pPr>
      <w:r>
        <w:rPr>
          <w:color w:val="000000"/>
        </w:rPr>
        <w:t>2</w:t>
      </w:r>
      <w:r w:rsidR="004B23AD" w:rsidRPr="00A51522">
        <w:rPr>
          <w:color w:val="000000"/>
        </w:rPr>
        <w:tab/>
      </w:r>
      <w:r w:rsidR="0052773A">
        <w:rPr>
          <w:color w:val="000000"/>
        </w:rPr>
        <w:t>Frequency domain resource allocation</w:t>
      </w:r>
    </w:p>
    <w:p w14:paraId="2B4DC6E0" w14:textId="12BB7D8F" w:rsidR="00A365AD" w:rsidRDefault="3E61DC49" w:rsidP="3E61DC49">
      <w:pPr>
        <w:spacing w:after="120"/>
        <w:jc w:val="both"/>
        <w:rPr>
          <w:rFonts w:eastAsia="MS Mincho"/>
          <w:lang w:val="en-US" w:eastAsia="ja-JP"/>
        </w:rPr>
      </w:pPr>
      <w:r w:rsidRPr="3E61DC49">
        <w:rPr>
          <w:rFonts w:eastAsia="MS Mincho"/>
          <w:lang w:val="en-US" w:eastAsia="ja-JP"/>
        </w:rPr>
        <w:t>As a short recap, we have agreed so far to support the following:</w:t>
      </w:r>
    </w:p>
    <w:p w14:paraId="5006E536" w14:textId="7EF58D99" w:rsidR="001C5296" w:rsidRDefault="3E61DC49" w:rsidP="3E61DC49">
      <w:pPr>
        <w:pStyle w:val="ListParagraph"/>
        <w:numPr>
          <w:ilvl w:val="0"/>
          <w:numId w:val="29"/>
        </w:numPr>
        <w:spacing w:after="120"/>
        <w:jc w:val="both"/>
        <w:rPr>
          <w:rFonts w:eastAsia="MS Mincho"/>
          <w:sz w:val="20"/>
          <w:szCs w:val="20"/>
          <w:lang w:val="en-US" w:eastAsia="ja-JP"/>
        </w:rPr>
      </w:pPr>
      <w:r w:rsidRPr="3E61DC49">
        <w:rPr>
          <w:sz w:val="20"/>
          <w:szCs w:val="20"/>
          <w:lang w:val="en-US"/>
        </w:rPr>
        <w:t>PDSCH and CP-OFDM based PUSCH: RA based on LTE DL RA type 0 (bitmap, contiguous and non-contiguous)</w:t>
      </w:r>
    </w:p>
    <w:p w14:paraId="61D338FE" w14:textId="749BBD99" w:rsidR="00A365AD" w:rsidRPr="00593A72" w:rsidRDefault="3E61DC49" w:rsidP="3E61DC49">
      <w:pPr>
        <w:pStyle w:val="ListParagraph"/>
        <w:numPr>
          <w:ilvl w:val="0"/>
          <w:numId w:val="29"/>
        </w:numPr>
        <w:spacing w:after="120"/>
        <w:jc w:val="both"/>
        <w:rPr>
          <w:rFonts w:eastAsia="MS Mincho"/>
          <w:sz w:val="20"/>
          <w:szCs w:val="20"/>
          <w:lang w:val="en-US" w:eastAsia="ja-JP"/>
        </w:rPr>
      </w:pPr>
      <w:r w:rsidRPr="3E61DC49">
        <w:rPr>
          <w:rFonts w:eastAsia="MS Mincho"/>
          <w:sz w:val="20"/>
          <w:szCs w:val="20"/>
          <w:lang w:val="en-US" w:eastAsia="ja-JP"/>
        </w:rPr>
        <w:t xml:space="preserve">PDSCH: </w:t>
      </w:r>
      <w:r w:rsidRPr="3E61DC49">
        <w:rPr>
          <w:sz w:val="20"/>
          <w:szCs w:val="20"/>
          <w:lang w:val="en-US"/>
        </w:rPr>
        <w:t xml:space="preserve">RA based on LTE DL RA type 2 (start-stop/length, contiguous and non-contiguous) </w:t>
      </w:r>
    </w:p>
    <w:p w14:paraId="7F3E5C42" w14:textId="15C589D3" w:rsidR="00A365AD" w:rsidRDefault="3E61DC49" w:rsidP="3E61DC49">
      <w:pPr>
        <w:pStyle w:val="ListParagraph"/>
        <w:numPr>
          <w:ilvl w:val="0"/>
          <w:numId w:val="29"/>
        </w:numPr>
        <w:spacing w:after="120"/>
        <w:jc w:val="both"/>
        <w:rPr>
          <w:rFonts w:eastAsia="MS Mincho"/>
          <w:sz w:val="20"/>
          <w:szCs w:val="20"/>
          <w:lang w:val="en-US" w:eastAsia="ja-JP"/>
        </w:rPr>
      </w:pPr>
      <w:r w:rsidRPr="3E61DC49">
        <w:rPr>
          <w:rFonts w:eastAsia="MS Mincho"/>
          <w:sz w:val="20"/>
          <w:szCs w:val="20"/>
          <w:lang w:val="en-US" w:eastAsia="ja-JP"/>
        </w:rPr>
        <w:t>DFT-S-OFDM and CP-OFDM based PUSCH: RA based on LTE UL RA Type 0 (start-stop/length, contiguous)</w:t>
      </w:r>
    </w:p>
    <w:p w14:paraId="431582F5" w14:textId="68E4F4DC" w:rsidR="00A365AD" w:rsidRDefault="00A3629E" w:rsidP="3E61DC49">
      <w:pPr>
        <w:pStyle w:val="Heading2"/>
        <w:rPr>
          <w:lang w:val="en-US" w:eastAsia="ja-JP"/>
        </w:rPr>
      </w:pPr>
      <w:r>
        <w:rPr>
          <w:lang w:val="en-US" w:eastAsia="ja-JP"/>
        </w:rPr>
        <w:t>2.1</w:t>
      </w:r>
      <w:r>
        <w:rPr>
          <w:lang w:val="en-US" w:eastAsia="ja-JP"/>
        </w:rPr>
        <w:tab/>
        <w:t xml:space="preserve">Resource allocation based on </w:t>
      </w:r>
      <w:r w:rsidR="001807F2">
        <w:rPr>
          <w:lang w:val="en-US" w:eastAsia="ja-JP"/>
        </w:rPr>
        <w:t xml:space="preserve">LTE </w:t>
      </w:r>
      <w:r>
        <w:rPr>
          <w:lang w:val="en-US" w:eastAsia="ja-JP"/>
        </w:rPr>
        <w:t>DL RA type 0</w:t>
      </w:r>
    </w:p>
    <w:p w14:paraId="0AD578C2" w14:textId="6CE5E288" w:rsidR="00A3629E" w:rsidRDefault="3E61DC49" w:rsidP="3E61DC49">
      <w:pPr>
        <w:spacing w:after="120"/>
        <w:jc w:val="both"/>
        <w:rPr>
          <w:rFonts w:eastAsia="MS Mincho"/>
          <w:lang w:val="en-US" w:eastAsia="ja-JP"/>
        </w:rPr>
      </w:pPr>
      <w:r w:rsidRPr="3E61DC49">
        <w:rPr>
          <w:rFonts w:eastAsia="MS Mincho"/>
          <w:lang w:val="en-US" w:eastAsia="ja-JP"/>
        </w:rPr>
        <w:t xml:space="preserve">This is applicable to </w:t>
      </w:r>
      <w:r w:rsidRPr="3E61DC49">
        <w:rPr>
          <w:lang w:val="en-US"/>
        </w:rPr>
        <w:t>PDSCH and CP-OFDM based PUSCH.</w:t>
      </w:r>
    </w:p>
    <w:p w14:paraId="30D58BC1" w14:textId="21D64815" w:rsidR="00AE2BED" w:rsidRPr="00EA1059" w:rsidRDefault="3E61DC49" w:rsidP="3E61DC49">
      <w:pPr>
        <w:spacing w:after="120"/>
        <w:jc w:val="both"/>
        <w:rPr>
          <w:rFonts w:eastAsia="MS Mincho"/>
          <w:b/>
          <w:bCs/>
          <w:u w:val="single"/>
          <w:lang w:val="en-US" w:eastAsia="ja-JP"/>
        </w:rPr>
      </w:pPr>
      <w:r w:rsidRPr="3E61DC49">
        <w:rPr>
          <w:rFonts w:eastAsia="MS Mincho"/>
          <w:b/>
          <w:bCs/>
          <w:u w:val="single"/>
          <w:lang w:val="en-US" w:eastAsia="ja-JP"/>
        </w:rPr>
        <w:t>RBG size determination</w:t>
      </w:r>
    </w:p>
    <w:p w14:paraId="082DFBD6" w14:textId="457F98DD" w:rsidR="00DA470D" w:rsidRDefault="3E61DC49" w:rsidP="3E61DC49">
      <w:pPr>
        <w:spacing w:after="120"/>
        <w:jc w:val="both"/>
        <w:rPr>
          <w:rFonts w:eastAsia="MS Mincho"/>
          <w:lang w:val="en-US" w:eastAsia="ja-JP"/>
        </w:rPr>
      </w:pPr>
      <w:r w:rsidRPr="3E61DC49">
        <w:rPr>
          <w:rFonts w:eastAsia="MS Mincho"/>
          <w:lang w:val="en-US" w:eastAsia="ja-JP"/>
        </w:rPr>
        <w:t>For LTE DL RA type 0, a bitmap is used to indicate the resource block groups (RBGs) allocated to the UE. It supports both contiguous and non-contiguous allocation, and the minimum granularity is a RBG.</w:t>
      </w:r>
    </w:p>
    <w:p w14:paraId="4F16AD1F" w14:textId="2CE95AF2" w:rsidR="009B0DEE" w:rsidRDefault="10E807B4" w:rsidP="10E807B4">
      <w:pPr>
        <w:spacing w:after="120"/>
        <w:jc w:val="both"/>
        <w:rPr>
          <w:rFonts w:eastAsia="MS Mincho"/>
          <w:lang w:val="en-US" w:eastAsia="ja-JP"/>
        </w:rPr>
      </w:pPr>
      <w:r w:rsidRPr="10E807B4">
        <w:rPr>
          <w:rFonts w:eastAsia="MS Mincho"/>
          <w:lang w:val="en-US" w:eastAsia="ja-JP"/>
        </w:rPr>
        <w:t>In RAN1#89 agreements, it was considered whether the RBG size can be aligned with the CCE size in PDCCH, e.g. by supporting the RBG size of 3 or 6. This may be considered to allow more compatible resource allocation for PDCCH and PDSCH when they occur on the same symbol. However, with the most recent agreements on the REG bundle size and resource allocation for PDCCH, the minimum granularity for PDCCH resource allocation can be one PRB (e..g for a multi-symbol CORESET with REG bundle size equal to CORESET length). So 3 or 6 would not serve the purpose any more. In addition</w:t>
      </w:r>
      <w:r w:rsidR="00BA1913">
        <w:rPr>
          <w:rFonts w:eastAsia="MS Mincho"/>
          <w:lang w:val="en-US" w:eastAsia="ja-JP"/>
        </w:rPr>
        <w:t xml:space="preserve"> based on RAN1#90 agreement</w:t>
      </w:r>
      <w:r w:rsidRPr="10E807B4">
        <w:rPr>
          <w:rFonts w:eastAsia="MS Mincho"/>
          <w:lang w:val="en-US" w:eastAsia="ja-JP"/>
        </w:rPr>
        <w:t xml:space="preserve">, the resource sharing of PDCCH and PDSCH on the same symbol </w:t>
      </w:r>
      <w:r w:rsidR="00BA1913">
        <w:rPr>
          <w:rFonts w:eastAsia="MS Mincho"/>
          <w:lang w:val="en-US" w:eastAsia="ja-JP"/>
        </w:rPr>
        <w:t>can be</w:t>
      </w:r>
      <w:r w:rsidRPr="10E807B4">
        <w:rPr>
          <w:rFonts w:eastAsia="MS Mincho"/>
          <w:lang w:val="en-US" w:eastAsia="ja-JP"/>
        </w:rPr>
        <w:t xml:space="preserve"> achieved by having PDSCH rate match around the indicated control resources, aligning the RBG size with PDCCH resource allocation unit does not seem to provide any obvious benefit.</w:t>
      </w:r>
    </w:p>
    <w:p w14:paraId="748A3B12" w14:textId="5520A4B4" w:rsidR="009B0DEE" w:rsidRDefault="10E807B4" w:rsidP="10E807B4">
      <w:pPr>
        <w:spacing w:after="120"/>
        <w:jc w:val="both"/>
        <w:rPr>
          <w:rFonts w:eastAsia="MS Mincho"/>
          <w:lang w:val="en-US" w:eastAsia="ja-JP"/>
        </w:rPr>
      </w:pPr>
      <w:r w:rsidRPr="10E807B4">
        <w:rPr>
          <w:rFonts w:eastAsia="MS Mincho"/>
          <w:lang w:val="en-US" w:eastAsia="ja-JP"/>
        </w:rPr>
        <w:t>On the other hand, there is a large benefit if RBGs of different numerologies and different BWPs are nested, i.e., from a set defined by 2</w:t>
      </w:r>
      <w:r w:rsidRPr="10E807B4">
        <w:rPr>
          <w:rFonts w:eastAsia="MS Mincho"/>
          <w:vertAlign w:val="superscript"/>
          <w:lang w:val="en-US" w:eastAsia="ja-JP"/>
        </w:rPr>
        <w:t>n</w:t>
      </w:r>
      <w:r w:rsidRPr="10E807B4">
        <w:rPr>
          <w:rFonts w:eastAsia="MS Mincho"/>
          <w:lang w:val="en-US" w:eastAsia="ja-JP"/>
        </w:rPr>
        <w:t>, where n is positive integer. If different RBG sizes are used for different UEs, it is beneficial to have nested RBG structure to achieve better compatibility in the resource allocation and spatial multiplexing for different UEs (e.g. to avoid any residual or orphan RBs due to misalligned RBG boundaries).</w:t>
      </w:r>
    </w:p>
    <w:p w14:paraId="470C9A1F" w14:textId="605B632F" w:rsidR="0053107E" w:rsidRDefault="3E61DC49" w:rsidP="3E61DC49">
      <w:pPr>
        <w:spacing w:after="120"/>
        <w:jc w:val="both"/>
        <w:rPr>
          <w:rFonts w:eastAsia="MS Mincho"/>
          <w:lang w:eastAsia="ja-JP"/>
        </w:rPr>
      </w:pPr>
      <w:r w:rsidRPr="3E61DC49">
        <w:rPr>
          <w:rFonts w:eastAsia="MS Mincho"/>
          <w:lang w:eastAsia="ja-JP"/>
        </w:rPr>
        <w:t>Additionally, if a PDSCH with 1-symbol or 2-symbol duration is scheduled, RBG size of 16 could be too small, and it would be reasonable to consider larger RBG size. For URLLC, having a larger RBG size would be especially beneficial to achieve a compact DCI.</w:t>
      </w:r>
    </w:p>
    <w:p w14:paraId="2FEAC7FB" w14:textId="0BB3CEC4" w:rsidR="0023308F" w:rsidRPr="00C95609" w:rsidRDefault="3E61DC49" w:rsidP="3E61DC49">
      <w:pPr>
        <w:rPr>
          <w:i/>
          <w:iCs/>
        </w:rPr>
      </w:pPr>
      <w:r w:rsidRPr="00C95609">
        <w:rPr>
          <w:b/>
          <w:bCs/>
          <w:i/>
          <w:iCs/>
        </w:rPr>
        <w:t>Observation 1:</w:t>
      </w:r>
      <w:r w:rsidRPr="00C95609">
        <w:rPr>
          <w:i/>
          <w:iCs/>
        </w:rPr>
        <w:t xml:space="preserve"> There is no obvious benefit to support RBG size of 3 or 6 if resource sharing of PDCCH and PDSCH on the same symbol is achieved by having PDSCH rate match around the indicated control resources.</w:t>
      </w:r>
    </w:p>
    <w:p w14:paraId="3BEA95F6" w14:textId="1151BDAE" w:rsidR="00AE2BED" w:rsidRPr="00C95609" w:rsidRDefault="10E807B4" w:rsidP="10E807B4">
      <w:pPr>
        <w:spacing w:after="0"/>
        <w:jc w:val="both"/>
        <w:rPr>
          <w:rFonts w:eastAsia="MS Mincho"/>
          <w:i/>
          <w:iCs/>
          <w:lang w:val="en-US" w:eastAsia="ja-JP"/>
        </w:rPr>
      </w:pPr>
      <w:r w:rsidRPr="00C95609">
        <w:rPr>
          <w:rFonts w:eastAsia="MS Mincho"/>
          <w:b/>
          <w:bCs/>
          <w:i/>
          <w:iCs/>
          <w:lang w:eastAsia="ja-JP"/>
        </w:rPr>
        <w:t>Proposal 1:</w:t>
      </w:r>
      <w:r w:rsidRPr="00C95609">
        <w:rPr>
          <w:rFonts w:eastAsia="MS Mincho"/>
          <w:i/>
          <w:iCs/>
          <w:lang w:eastAsia="ja-JP"/>
        </w:rPr>
        <w:t xml:space="preserve"> The set of supported RBG sizes includes entries defined by </w:t>
      </w:r>
      <w:r w:rsidRPr="00C95609">
        <w:rPr>
          <w:rFonts w:eastAsia="MS Mincho"/>
          <w:i/>
          <w:iCs/>
          <w:lang w:val="en-US" w:eastAsia="ja-JP"/>
        </w:rPr>
        <w:t>2</w:t>
      </w:r>
      <w:r w:rsidRPr="00C95609">
        <w:rPr>
          <w:rFonts w:eastAsia="MS Mincho"/>
          <w:i/>
          <w:iCs/>
          <w:vertAlign w:val="superscript"/>
          <w:lang w:val="en-US" w:eastAsia="ja-JP"/>
        </w:rPr>
        <w:t>n</w:t>
      </w:r>
      <w:r w:rsidRPr="00C95609">
        <w:rPr>
          <w:rFonts w:eastAsia="MS Mincho"/>
          <w:i/>
          <w:iCs/>
          <w:lang w:eastAsia="ja-JP"/>
        </w:rPr>
        <w:t xml:space="preserve">, where </w:t>
      </w:r>
      <w:r w:rsidRPr="00C95609">
        <w:rPr>
          <w:rFonts w:eastAsia="MS Mincho"/>
          <w:i/>
          <w:iCs/>
          <w:lang w:val="en-US" w:eastAsia="ja-JP"/>
        </w:rPr>
        <w:t xml:space="preserve">n=[1,2,3,4] </w:t>
      </w:r>
    </w:p>
    <w:p w14:paraId="528296EF" w14:textId="0B3CDAF8" w:rsidR="007320A2" w:rsidRPr="00C95609" w:rsidRDefault="3E61DC49" w:rsidP="3E61DC49">
      <w:pPr>
        <w:pStyle w:val="ListParagraph"/>
        <w:numPr>
          <w:ilvl w:val="0"/>
          <w:numId w:val="32"/>
        </w:numPr>
        <w:spacing w:after="120"/>
        <w:jc w:val="both"/>
        <w:rPr>
          <w:rFonts w:eastAsia="MS Mincho"/>
          <w:i/>
          <w:lang w:val="en-US" w:eastAsia="ja-JP"/>
        </w:rPr>
      </w:pPr>
      <w:r w:rsidRPr="00C95609">
        <w:rPr>
          <w:rFonts w:eastAsia="MS Mincho"/>
          <w:i/>
          <w:iCs/>
          <w:sz w:val="20"/>
          <w:szCs w:val="20"/>
          <w:lang w:val="en-US" w:eastAsia="ja-JP"/>
        </w:rPr>
        <w:t>FFS on support of values n&gt;4.</w:t>
      </w:r>
    </w:p>
    <w:p w14:paraId="3B5958D0" w14:textId="77777777" w:rsidR="00593A72" w:rsidRDefault="00593A72" w:rsidP="003B3C64">
      <w:pPr>
        <w:spacing w:after="120"/>
        <w:jc w:val="both"/>
        <w:rPr>
          <w:rFonts w:eastAsia="MS Mincho"/>
          <w:lang w:eastAsia="ja-JP"/>
        </w:rPr>
      </w:pPr>
    </w:p>
    <w:p w14:paraId="06C7AAFC" w14:textId="26ADCBE0" w:rsidR="00503CF2" w:rsidRDefault="3E61DC49" w:rsidP="3E61DC49">
      <w:pPr>
        <w:spacing w:after="120"/>
        <w:jc w:val="both"/>
        <w:rPr>
          <w:rFonts w:eastAsia="MS Mincho"/>
          <w:lang w:eastAsia="ja-JP"/>
        </w:rPr>
      </w:pPr>
      <w:r w:rsidRPr="3E61DC49">
        <w:rPr>
          <w:rFonts w:eastAsia="MS Mincho"/>
          <w:lang w:eastAsia="ja-JP"/>
        </w:rPr>
        <w:t>In RAN1-AH#2, a few options to decide the RBG size in the context of bandwidth parts (BWP) were discussed. We note that these options are not mutually exclusive. For example, options 3/4 can potentially be used together with options 1/2/5.</w:t>
      </w:r>
    </w:p>
    <w:p w14:paraId="07F21787" w14:textId="0B8AFF73" w:rsidR="00A33776" w:rsidRDefault="10E807B4" w:rsidP="10E807B4">
      <w:pPr>
        <w:spacing w:after="120"/>
        <w:jc w:val="both"/>
        <w:rPr>
          <w:rFonts w:eastAsia="MS Mincho"/>
          <w:lang w:val="en-US" w:eastAsia="ja-JP"/>
        </w:rPr>
      </w:pPr>
      <w:r w:rsidRPr="10E807B4">
        <w:rPr>
          <w:rFonts w:eastAsia="MS Mincho"/>
          <w:lang w:eastAsia="ja-JP"/>
        </w:rPr>
        <w:t>When deciding</w:t>
      </w:r>
      <w:r w:rsidRPr="10E807B4">
        <w:rPr>
          <w:rFonts w:eastAsia="MS Mincho"/>
          <w:lang w:val="en-US" w:eastAsia="ja-JP"/>
        </w:rPr>
        <w:t xml:space="preserve"> the RBG size for a UE, the most typical use cases for bandwidth parts include: (1) UEs can be configured with smaller BW than the BW of network carrier; (2) a UE may have multiple bandwidth parts (BWP) configured , and the bandwidth can be potentially dynamically changed.</w:t>
      </w:r>
    </w:p>
    <w:p w14:paraId="43EE1F1D" w14:textId="77777777" w:rsidR="00503CF2" w:rsidRDefault="3E61DC49" w:rsidP="3E61DC49">
      <w:pPr>
        <w:spacing w:after="120"/>
        <w:jc w:val="both"/>
        <w:rPr>
          <w:rFonts w:eastAsia="MS Mincho"/>
          <w:lang w:val="en-US" w:eastAsia="ja-JP"/>
        </w:rPr>
      </w:pPr>
      <w:r w:rsidRPr="3E61DC49">
        <w:rPr>
          <w:rFonts w:eastAsia="MS Mincho"/>
          <w:lang w:val="en-US" w:eastAsia="ja-JP"/>
        </w:rPr>
        <w:t>The desirable RBG size properties include:</w:t>
      </w:r>
    </w:p>
    <w:p w14:paraId="4A6C1ABF" w14:textId="5B8BDA19" w:rsidR="00A33776" w:rsidRDefault="10E807B4" w:rsidP="10E807B4">
      <w:pPr>
        <w:pStyle w:val="ListParagraph"/>
        <w:numPr>
          <w:ilvl w:val="0"/>
          <w:numId w:val="30"/>
        </w:numPr>
        <w:spacing w:after="120"/>
        <w:jc w:val="both"/>
        <w:rPr>
          <w:rFonts w:eastAsia="MS Mincho"/>
          <w:sz w:val="20"/>
          <w:szCs w:val="20"/>
          <w:lang w:val="en-US" w:eastAsia="ja-JP"/>
        </w:rPr>
      </w:pPr>
      <w:r w:rsidRPr="10E807B4">
        <w:rPr>
          <w:rFonts w:eastAsia="MS Mincho"/>
          <w:b/>
          <w:bCs/>
          <w:sz w:val="20"/>
          <w:szCs w:val="20"/>
          <w:u w:val="single"/>
          <w:lang w:val="en-US" w:eastAsia="ja-JP"/>
        </w:rPr>
        <w:t>Configurability</w:t>
      </w:r>
      <w:r w:rsidRPr="10E807B4">
        <w:rPr>
          <w:rFonts w:eastAsia="MS Mincho"/>
          <w:sz w:val="20"/>
          <w:szCs w:val="20"/>
          <w:lang w:val="en-US" w:eastAsia="ja-JP"/>
        </w:rPr>
        <w:t>. For different UEs with different bandwidth configured, the flexibility would be desirable to allow different RBG sizes for different UEs, in order to achieve the best tradeoff between DCI overhead and fine resource allocation granularity for each UE. The optimal granularity can be dependent on the load in the cell,  type of traffic the UE is receiving, configured UE bandwidth, or the length of TTIs the UE is served with.</w:t>
      </w:r>
    </w:p>
    <w:p w14:paraId="683A3D33" w14:textId="20D56198" w:rsidR="00503CF2" w:rsidRDefault="3E61DC49" w:rsidP="3E61DC49">
      <w:pPr>
        <w:pStyle w:val="ListParagraph"/>
        <w:numPr>
          <w:ilvl w:val="0"/>
          <w:numId w:val="30"/>
        </w:numPr>
        <w:spacing w:after="120"/>
        <w:jc w:val="both"/>
        <w:rPr>
          <w:rFonts w:eastAsia="MS Mincho"/>
          <w:sz w:val="20"/>
          <w:szCs w:val="20"/>
          <w:lang w:val="en-US" w:eastAsia="ja-JP"/>
        </w:rPr>
      </w:pPr>
      <w:r w:rsidRPr="3E61DC49">
        <w:rPr>
          <w:rFonts w:eastAsia="MS Mincho"/>
          <w:b/>
          <w:bCs/>
          <w:sz w:val="20"/>
          <w:szCs w:val="20"/>
          <w:u w:val="single"/>
          <w:lang w:val="en-US" w:eastAsia="ja-JP"/>
        </w:rPr>
        <w:t xml:space="preserve">Same DCI </w:t>
      </w:r>
      <w:r w:rsidR="00BA1913">
        <w:rPr>
          <w:rFonts w:eastAsia="MS Mincho"/>
          <w:b/>
          <w:bCs/>
          <w:sz w:val="20"/>
          <w:szCs w:val="20"/>
          <w:u w:val="single"/>
          <w:lang w:val="en-US" w:eastAsia="ja-JP"/>
        </w:rPr>
        <w:t xml:space="preserve">format </w:t>
      </w:r>
      <w:r w:rsidRPr="3E61DC49">
        <w:rPr>
          <w:rFonts w:eastAsia="MS Mincho"/>
          <w:b/>
          <w:bCs/>
          <w:sz w:val="20"/>
          <w:szCs w:val="20"/>
          <w:u w:val="single"/>
          <w:lang w:val="en-US" w:eastAsia="ja-JP"/>
        </w:rPr>
        <w:t>size for the multiple configured BWPs of a UE.</w:t>
      </w:r>
      <w:r w:rsidRPr="3E61DC49">
        <w:rPr>
          <w:rFonts w:eastAsia="MS Mincho"/>
          <w:sz w:val="20"/>
          <w:szCs w:val="20"/>
          <w:lang w:val="en-US" w:eastAsia="ja-JP"/>
        </w:rPr>
        <w:t xml:space="preserve"> For a UE operating with bandwidth adaptation, the determination of RBG size should consider the DCI size before and after changing the BWP. Even though CORESET is configured for each BWP, the PDCCH candidates for two BWPs can have some or full overlap if the two BWPs are overlapped.</w:t>
      </w:r>
    </w:p>
    <w:p w14:paraId="57BDE7E2" w14:textId="37348867" w:rsidR="00503CF2" w:rsidRDefault="10E807B4" w:rsidP="10E807B4">
      <w:pPr>
        <w:pStyle w:val="ListParagraph"/>
        <w:numPr>
          <w:ilvl w:val="1"/>
          <w:numId w:val="30"/>
        </w:numPr>
        <w:spacing w:after="120"/>
        <w:jc w:val="both"/>
        <w:rPr>
          <w:rFonts w:eastAsia="MS Mincho"/>
          <w:sz w:val="20"/>
          <w:szCs w:val="20"/>
          <w:lang w:val="en-US" w:eastAsia="ja-JP"/>
        </w:rPr>
      </w:pPr>
      <w:r w:rsidRPr="10E807B4">
        <w:rPr>
          <w:rFonts w:eastAsia="MS Mincho"/>
          <w:sz w:val="20"/>
          <w:szCs w:val="20"/>
          <w:lang w:val="en-US" w:eastAsia="ja-JP"/>
        </w:rPr>
        <w:t xml:space="preserve">If the DCI size and format can stay the same before and after bandwidth adaptation command is issued, it would allow the gNB to send a single DCI using one of the overlapping PDCCH candidates during the ambiguous period when the gNB does not know yet whether the UE has successfully retuned or not. </w:t>
      </w:r>
    </w:p>
    <w:p w14:paraId="3E9196D6" w14:textId="2D723BF9" w:rsidR="00503CF2" w:rsidRDefault="3E61DC49" w:rsidP="3E61DC49">
      <w:pPr>
        <w:pStyle w:val="ListParagraph"/>
        <w:numPr>
          <w:ilvl w:val="1"/>
          <w:numId w:val="30"/>
        </w:numPr>
        <w:spacing w:after="120"/>
        <w:jc w:val="both"/>
        <w:rPr>
          <w:rFonts w:eastAsia="MS Mincho"/>
          <w:sz w:val="20"/>
          <w:szCs w:val="20"/>
          <w:lang w:val="en-US" w:eastAsia="ja-JP"/>
        </w:rPr>
      </w:pPr>
      <w:r w:rsidRPr="3E61DC49">
        <w:rPr>
          <w:rFonts w:eastAsia="MS Mincho"/>
          <w:sz w:val="20"/>
          <w:szCs w:val="20"/>
          <w:lang w:val="en-US" w:eastAsia="ja-JP"/>
        </w:rPr>
        <w:t>In addition, the DCI on one BWP can schedule the same BWP as well as cross-slot/cross-mini-slot schedule another BWP. A UE does not need to follow two DCI format sizes at each CORESET in this case. Note that overlapping BWPs can be the most typical use case considering the UEs switching between narrower and wider bandwidth for power saving purpose. In this sense, for a UE configured with multiple BWPs, it is beneficial to have the DCI size aligned for all the BWPs.</w:t>
      </w:r>
    </w:p>
    <w:p w14:paraId="5D10751F" w14:textId="2DC8E72D" w:rsidR="00A33776" w:rsidRPr="006151F2" w:rsidRDefault="3E61DC49" w:rsidP="3E61DC49">
      <w:pPr>
        <w:spacing w:after="120"/>
        <w:jc w:val="both"/>
        <w:rPr>
          <w:rFonts w:eastAsia="MS Mincho"/>
          <w:lang w:val="en-US" w:eastAsia="ja-JP"/>
        </w:rPr>
      </w:pPr>
      <w:r w:rsidRPr="3E61DC49">
        <w:rPr>
          <w:rFonts w:eastAsia="MS Mincho"/>
          <w:lang w:val="en-US" w:eastAsia="ja-JP"/>
        </w:rPr>
        <w:t>As discussed in [1], there are multiple ways to achieve the above properties. Option 1 as listed in RAN1-AH#2 agreements is the most straightforward way</w:t>
      </w:r>
      <w:r w:rsidR="00BA1913">
        <w:rPr>
          <w:rFonts w:eastAsia="MS Mincho"/>
          <w:lang w:val="en-US" w:eastAsia="ja-JP"/>
        </w:rPr>
        <w:t xml:space="preserve"> which keeps the RA field always constant</w:t>
      </w:r>
      <w:r w:rsidRPr="3E61DC49">
        <w:rPr>
          <w:rFonts w:eastAsia="MS Mincho"/>
          <w:lang w:val="en-US" w:eastAsia="ja-JP"/>
        </w:rPr>
        <w:t>,</w:t>
      </w:r>
      <w:r w:rsidR="00244194">
        <w:rPr>
          <w:rFonts w:eastAsia="MS Mincho"/>
          <w:lang w:val="en-US" w:eastAsia="ja-JP"/>
        </w:rPr>
        <w:t xml:space="preserve"> i.e. no need for any additional padding bits. Contrary,</w:t>
      </w:r>
      <w:r w:rsidRPr="3E61DC49">
        <w:rPr>
          <w:rFonts w:eastAsia="MS Mincho"/>
          <w:lang w:val="en-US" w:eastAsia="ja-JP"/>
        </w:rPr>
        <w:t xml:space="preserve"> the other options (option 2 or 5) cannot achieve </w:t>
      </w:r>
      <w:r w:rsidR="00BA1913">
        <w:rPr>
          <w:rFonts w:eastAsia="MS Mincho"/>
          <w:lang w:val="en-US" w:eastAsia="ja-JP"/>
        </w:rPr>
        <w:t>the same size of RA field</w:t>
      </w:r>
      <w:r w:rsidR="003E50B9">
        <w:rPr>
          <w:rFonts w:eastAsia="MS Mincho"/>
          <w:lang w:val="en-US" w:eastAsia="ja-JP"/>
        </w:rPr>
        <w:t xml:space="preserve"> in BWPs of different size</w:t>
      </w:r>
      <w:r w:rsidR="00244194">
        <w:rPr>
          <w:rFonts w:eastAsia="MS Mincho"/>
          <w:lang w:val="en-US" w:eastAsia="ja-JP"/>
        </w:rPr>
        <w:t>s, and to align DCI format sizes, additional padding bits would be required.</w:t>
      </w:r>
      <w:r w:rsidRPr="3E61DC49">
        <w:rPr>
          <w:rFonts w:eastAsia="MS Mincho"/>
          <w:lang w:val="en-US" w:eastAsia="ja-JP"/>
        </w:rPr>
        <w:t xml:space="preserve"> </w:t>
      </w:r>
    </w:p>
    <w:p w14:paraId="5D30F0F3" w14:textId="6CBC579B" w:rsidR="00151224" w:rsidRDefault="00582F21" w:rsidP="10E807B4">
      <w:pPr>
        <w:spacing w:after="120"/>
        <w:jc w:val="both"/>
        <w:rPr>
          <w:rFonts w:eastAsia="MS Mincho"/>
          <w:lang w:eastAsia="ja-JP"/>
        </w:rPr>
      </w:pPr>
      <w:r>
        <w:rPr>
          <w:rFonts w:eastAsia="MS Mincho"/>
          <w:lang w:eastAsia="ja-JP"/>
        </w:rPr>
        <w:t>Furthremore</w:t>
      </w:r>
      <w:r w:rsidR="00151224">
        <w:rPr>
          <w:rFonts w:eastAsia="MS Mincho"/>
          <w:lang w:eastAsia="ja-JP"/>
        </w:rPr>
        <w:t>, the RBG size should also consider the scheduling unit in time domain. For example, the gNB may want to configure a larger RBG size for a PDSCH with 1 or 2-symbol duration than that for a PDSCH with one slot duration. If we consider URLLC in particular, it is especially important to minimize the DCI payload size to achieve the desired reliability. Option 3 and 4 are both trying to address this issue. However, option 3 is a more natural way because the UE would need to know the DCI format size in order to decode a DCI.</w:t>
      </w:r>
      <w:r w:rsidR="003E50B9">
        <w:rPr>
          <w:rFonts w:eastAsia="MS Mincho"/>
          <w:lang w:eastAsia="ja-JP"/>
        </w:rPr>
        <w:t xml:space="preserve"> </w:t>
      </w:r>
    </w:p>
    <w:p w14:paraId="09AAA122" w14:textId="32531F4B" w:rsidR="003E50B9" w:rsidRDefault="003E50B9" w:rsidP="10E807B4">
      <w:pPr>
        <w:spacing w:after="120"/>
        <w:jc w:val="both"/>
        <w:rPr>
          <w:rFonts w:eastAsia="MS Mincho"/>
          <w:lang w:eastAsia="ja-JP"/>
        </w:rPr>
      </w:pPr>
      <w:r>
        <w:rPr>
          <w:rFonts w:eastAsia="MS Mincho"/>
          <w:lang w:eastAsia="ja-JP"/>
        </w:rPr>
        <w:t>Based on above discussion, we propose that:</w:t>
      </w:r>
    </w:p>
    <w:p w14:paraId="47BCD817" w14:textId="57C417B8" w:rsidR="00443A9F" w:rsidRPr="00C95609" w:rsidRDefault="007B0ADB" w:rsidP="00A75A52">
      <w:pPr>
        <w:spacing w:after="0"/>
        <w:rPr>
          <w:i/>
          <w:iCs/>
        </w:rPr>
      </w:pPr>
      <w:r w:rsidRPr="00C95609">
        <w:rPr>
          <w:b/>
          <w:bCs/>
          <w:i/>
          <w:iCs/>
        </w:rPr>
        <w:t xml:space="preserve">Proposal </w:t>
      </w:r>
      <w:r w:rsidR="00BA4641" w:rsidRPr="00C95609">
        <w:rPr>
          <w:b/>
          <w:bCs/>
          <w:i/>
          <w:iCs/>
        </w:rPr>
        <w:t>2</w:t>
      </w:r>
      <w:r w:rsidRPr="00C95609">
        <w:rPr>
          <w:b/>
          <w:bCs/>
          <w:i/>
          <w:iCs/>
        </w:rPr>
        <w:t xml:space="preserve">: </w:t>
      </w:r>
      <w:r w:rsidR="00503CF2" w:rsidRPr="00C95609">
        <w:rPr>
          <w:i/>
          <w:iCs/>
        </w:rPr>
        <w:t>F</w:t>
      </w:r>
      <w:r w:rsidR="00ED2C5A" w:rsidRPr="00C95609">
        <w:rPr>
          <w:i/>
          <w:iCs/>
        </w:rPr>
        <w:t xml:space="preserve">or </w:t>
      </w:r>
      <w:r w:rsidR="00A3629E" w:rsidRPr="00C95609">
        <w:rPr>
          <w:i/>
          <w:iCs/>
        </w:rPr>
        <w:t xml:space="preserve">resource allocation based on LTE DL </w:t>
      </w:r>
      <w:r w:rsidR="00ED2C5A" w:rsidRPr="00C95609">
        <w:rPr>
          <w:i/>
          <w:iCs/>
        </w:rPr>
        <w:t xml:space="preserve">type 0, </w:t>
      </w:r>
      <w:r w:rsidR="00A3629E" w:rsidRPr="00C95609">
        <w:rPr>
          <w:i/>
          <w:iCs/>
        </w:rPr>
        <w:t>the size</w:t>
      </w:r>
      <w:r w:rsidR="00443A9F" w:rsidRPr="00C95609">
        <w:rPr>
          <w:i/>
          <w:iCs/>
        </w:rPr>
        <w:t xml:space="preserve"> X</w:t>
      </w:r>
      <w:r w:rsidR="00A3629E" w:rsidRPr="00C95609">
        <w:rPr>
          <w:i/>
          <w:iCs/>
        </w:rPr>
        <w:t xml:space="preserve"> of the RA bitmap is semi-statically configured</w:t>
      </w:r>
      <w:r w:rsidR="00443A9F" w:rsidRPr="00C95609">
        <w:rPr>
          <w:i/>
          <w:iCs/>
        </w:rPr>
        <w:t xml:space="preserve"> </w:t>
      </w:r>
      <w:r w:rsidR="00151224" w:rsidRPr="00C95609">
        <w:rPr>
          <w:i/>
          <w:iCs/>
        </w:rPr>
        <w:t>per</w:t>
      </w:r>
      <w:r w:rsidR="00443A9F" w:rsidRPr="00C95609">
        <w:rPr>
          <w:i/>
          <w:iCs/>
        </w:rPr>
        <w:t xml:space="preserve"> DCI format a UE sh</w:t>
      </w:r>
      <w:r w:rsidR="00151224" w:rsidRPr="00C95609">
        <w:rPr>
          <w:i/>
          <w:iCs/>
        </w:rPr>
        <w:t>all</w:t>
      </w:r>
      <w:r w:rsidR="00443A9F" w:rsidRPr="00C95609">
        <w:rPr>
          <w:i/>
          <w:iCs/>
        </w:rPr>
        <w:t xml:space="preserve"> monitor</w:t>
      </w:r>
      <w:r w:rsidR="00A3629E" w:rsidRPr="00C95609">
        <w:rPr>
          <w:i/>
          <w:iCs/>
        </w:rPr>
        <w:t>, and</w:t>
      </w:r>
      <w:r w:rsidR="00151224" w:rsidRPr="00C95609">
        <w:rPr>
          <w:i/>
          <w:iCs/>
        </w:rPr>
        <w:t xml:space="preserve"> down-select between the following two options</w:t>
      </w:r>
      <w:r w:rsidR="00582F21" w:rsidRPr="00C95609">
        <w:rPr>
          <w:i/>
          <w:iCs/>
        </w:rPr>
        <w:t>:</w:t>
      </w:r>
      <w:r w:rsidR="00A3629E" w:rsidRPr="00C95609">
        <w:rPr>
          <w:i/>
          <w:iCs/>
        </w:rPr>
        <w:t xml:space="preserve"> </w:t>
      </w:r>
    </w:p>
    <w:p w14:paraId="4246E399" w14:textId="6FA7A25A" w:rsidR="007B0ADB" w:rsidRPr="00C95609" w:rsidRDefault="00443A9F" w:rsidP="00A75A52">
      <w:pPr>
        <w:pStyle w:val="ListParagraph"/>
        <w:numPr>
          <w:ilvl w:val="0"/>
          <w:numId w:val="32"/>
        </w:numPr>
        <w:rPr>
          <w:rFonts w:eastAsia="MS Mincho"/>
          <w:b/>
          <w:bCs/>
          <w:i/>
          <w:u w:val="single"/>
          <w:lang w:val="en-US" w:eastAsia="ja-JP"/>
        </w:rPr>
      </w:pPr>
      <w:r w:rsidRPr="00C95609">
        <w:rPr>
          <w:rFonts w:eastAsia="Yu Mincho"/>
          <w:i/>
          <w:iCs/>
          <w:sz w:val="20"/>
          <w:szCs w:val="20"/>
          <w:lang w:val="en-US" w:eastAsia="ja-JP"/>
        </w:rPr>
        <w:t xml:space="preserve">Option 1: </w:t>
      </w:r>
      <w:r w:rsidR="00A3629E" w:rsidRPr="00C95609">
        <w:rPr>
          <w:rFonts w:eastAsia="Yu Mincho"/>
          <w:i/>
          <w:iCs/>
          <w:sz w:val="20"/>
          <w:szCs w:val="20"/>
          <w:lang w:val="en-US" w:eastAsia="ja-JP"/>
        </w:rPr>
        <w:t xml:space="preserve">the RBGs </w:t>
      </w:r>
      <w:r w:rsidR="00582F21" w:rsidRPr="00C95609">
        <w:rPr>
          <w:rFonts w:eastAsia="Yu Mincho"/>
          <w:i/>
          <w:iCs/>
          <w:sz w:val="20"/>
          <w:szCs w:val="20"/>
          <w:lang w:val="en-US" w:eastAsia="ja-JP"/>
        </w:rPr>
        <w:t>size</w:t>
      </w:r>
      <w:r w:rsidR="00A3629E" w:rsidRPr="00C95609">
        <w:rPr>
          <w:rFonts w:eastAsia="Yu Mincho"/>
          <w:i/>
          <w:iCs/>
          <w:sz w:val="20"/>
          <w:szCs w:val="20"/>
          <w:lang w:val="en-US" w:eastAsia="ja-JP"/>
        </w:rPr>
        <w:t xml:space="preserve"> is determined</w:t>
      </w:r>
      <w:r w:rsidR="00582F21" w:rsidRPr="00C95609">
        <w:rPr>
          <w:rFonts w:eastAsia="Yu Mincho"/>
          <w:i/>
          <w:iCs/>
          <w:sz w:val="20"/>
          <w:szCs w:val="20"/>
          <w:lang w:val="en-US" w:eastAsia="ja-JP"/>
        </w:rPr>
        <w:t xml:space="preserve"> (out of supported RBG values)</w:t>
      </w:r>
      <w:r w:rsidR="00A3629E" w:rsidRPr="00C95609">
        <w:rPr>
          <w:rFonts w:eastAsia="Yu Mincho"/>
          <w:i/>
          <w:iCs/>
          <w:sz w:val="20"/>
          <w:szCs w:val="20"/>
          <w:lang w:val="en-US" w:eastAsia="ja-JP"/>
        </w:rPr>
        <w:t xml:space="preserve"> based on</w:t>
      </w:r>
      <w:r w:rsidR="00582F21" w:rsidRPr="00C95609">
        <w:rPr>
          <w:rFonts w:eastAsia="Yu Mincho"/>
          <w:i/>
          <w:iCs/>
          <w:sz w:val="20"/>
          <w:szCs w:val="20"/>
          <w:lang w:val="en-US" w:eastAsia="ja-JP"/>
        </w:rPr>
        <w:t xml:space="preserve"> the</w:t>
      </w:r>
      <w:r w:rsidR="00A3629E" w:rsidRPr="00C95609">
        <w:rPr>
          <w:rFonts w:eastAsia="Yu Mincho"/>
          <w:i/>
          <w:iCs/>
          <w:sz w:val="20"/>
          <w:szCs w:val="20"/>
          <w:lang w:val="en-US" w:eastAsia="ja-JP"/>
        </w:rPr>
        <w:t xml:space="preserve"> size of BWP and the size of the </w:t>
      </w:r>
      <w:r w:rsidR="00582F21" w:rsidRPr="00C95609">
        <w:rPr>
          <w:rFonts w:eastAsia="Yu Mincho"/>
          <w:i/>
          <w:iCs/>
          <w:sz w:val="20"/>
          <w:szCs w:val="20"/>
          <w:lang w:val="en-US" w:eastAsia="ja-JP"/>
        </w:rPr>
        <w:t xml:space="preserve">RA </w:t>
      </w:r>
      <w:r w:rsidR="00A3629E" w:rsidRPr="00C95609">
        <w:rPr>
          <w:rFonts w:eastAsia="Yu Mincho"/>
          <w:i/>
          <w:iCs/>
          <w:sz w:val="20"/>
          <w:szCs w:val="20"/>
          <w:lang w:val="en-US" w:eastAsia="ja-JP"/>
        </w:rPr>
        <w:t>bitmap</w:t>
      </w:r>
      <w:r w:rsidR="00582F21" w:rsidRPr="00C95609">
        <w:rPr>
          <w:rFonts w:eastAsia="Yu Mincho"/>
          <w:i/>
          <w:iCs/>
          <w:sz w:val="20"/>
          <w:szCs w:val="20"/>
          <w:lang w:val="en-US" w:eastAsia="ja-JP"/>
        </w:rPr>
        <w:t xml:space="preserve"> X.</w:t>
      </w:r>
      <w:r w:rsidRPr="00C95609">
        <w:rPr>
          <w:rFonts w:eastAsia="Yu Mincho"/>
          <w:i/>
          <w:iCs/>
          <w:sz w:val="20"/>
          <w:szCs w:val="20"/>
          <w:lang w:val="en-US" w:eastAsia="ja-JP"/>
        </w:rPr>
        <w:t xml:space="preserve"> </w:t>
      </w:r>
    </w:p>
    <w:p w14:paraId="7D71CFAC" w14:textId="26CC0FA2" w:rsidR="00443A9F" w:rsidRPr="00C95609" w:rsidRDefault="00443A9F" w:rsidP="00A75A52">
      <w:pPr>
        <w:pStyle w:val="ListParagraph"/>
        <w:numPr>
          <w:ilvl w:val="0"/>
          <w:numId w:val="32"/>
        </w:numPr>
        <w:rPr>
          <w:rFonts w:eastAsia="MS Mincho"/>
          <w:b/>
          <w:bCs/>
          <w:i/>
          <w:iCs/>
          <w:u w:val="single"/>
          <w:lang w:val="en-US" w:eastAsia="ja-JP"/>
        </w:rPr>
      </w:pPr>
      <w:r w:rsidRPr="00C95609">
        <w:rPr>
          <w:rFonts w:eastAsia="Yu Mincho"/>
          <w:i/>
          <w:iCs/>
          <w:sz w:val="20"/>
          <w:szCs w:val="20"/>
          <w:lang w:val="en-US" w:eastAsia="ja-JP"/>
        </w:rPr>
        <w:t>Option 2:</w:t>
      </w:r>
      <w:r w:rsidRPr="00C95609">
        <w:rPr>
          <w:i/>
          <w:sz w:val="20"/>
          <w:szCs w:val="20"/>
          <w:lang w:val="en-US"/>
        </w:rPr>
        <w:t xml:space="preserve"> </w:t>
      </w:r>
      <w:r w:rsidRPr="00C95609">
        <w:rPr>
          <w:i/>
          <w:iCs/>
          <w:sz w:val="20"/>
          <w:szCs w:val="20"/>
          <w:lang w:val="en-US"/>
        </w:rPr>
        <w:t xml:space="preserve">the RBG </w:t>
      </w:r>
      <w:r w:rsidR="00582F21" w:rsidRPr="00C95609">
        <w:rPr>
          <w:i/>
          <w:iCs/>
          <w:sz w:val="20"/>
          <w:szCs w:val="20"/>
          <w:lang w:val="en-US"/>
        </w:rPr>
        <w:t xml:space="preserve">size </w:t>
      </w:r>
      <w:r w:rsidRPr="00C95609">
        <w:rPr>
          <w:i/>
          <w:iCs/>
          <w:sz w:val="20"/>
          <w:szCs w:val="20"/>
          <w:lang w:val="en-US"/>
        </w:rPr>
        <w:t>is configured per BWP. If number of required bits is smaller than X,</w:t>
      </w:r>
      <w:r w:rsidR="00151224" w:rsidRPr="00C95609">
        <w:rPr>
          <w:i/>
          <w:iCs/>
          <w:sz w:val="20"/>
          <w:szCs w:val="20"/>
          <w:lang w:val="en-US"/>
        </w:rPr>
        <w:t xml:space="preserve"> eNB adds padding bits to RA field, if number of required bits is larger than X, then eNB may allocate only part of the BWP.</w:t>
      </w:r>
      <w:r w:rsidR="00C5099B" w:rsidRPr="00C95609">
        <w:rPr>
          <w:i/>
          <w:iCs/>
          <w:sz w:val="20"/>
          <w:szCs w:val="20"/>
          <w:lang w:val="en-US"/>
        </w:rPr>
        <w:t xml:space="preserve"> FFS on the part of BWP.</w:t>
      </w:r>
    </w:p>
    <w:p w14:paraId="112C6E21" w14:textId="767A5445" w:rsidR="00A3629E" w:rsidRPr="00C95609" w:rsidRDefault="00A3629E" w:rsidP="000717FB">
      <w:pPr>
        <w:rPr>
          <w:rFonts w:eastAsia="MS Mincho"/>
          <w:i/>
          <w:lang w:eastAsia="ja-JP"/>
        </w:rPr>
      </w:pPr>
    </w:p>
    <w:p w14:paraId="21375E9B" w14:textId="6AA8E386" w:rsidR="00837B90" w:rsidRDefault="00837B90" w:rsidP="3E61DC49">
      <w:pPr>
        <w:pStyle w:val="Heading2"/>
        <w:rPr>
          <w:lang w:val="en-US" w:eastAsia="ja-JP"/>
        </w:rPr>
      </w:pPr>
      <w:r>
        <w:rPr>
          <w:lang w:val="en-US" w:eastAsia="ja-JP"/>
        </w:rPr>
        <w:t>2.2</w:t>
      </w:r>
      <w:r>
        <w:rPr>
          <w:lang w:val="en-US" w:eastAsia="ja-JP"/>
        </w:rPr>
        <w:tab/>
        <w:t xml:space="preserve">Resource allocation based on </w:t>
      </w:r>
      <w:r w:rsidR="001807F2">
        <w:rPr>
          <w:lang w:val="en-US" w:eastAsia="ja-JP"/>
        </w:rPr>
        <w:t xml:space="preserve">LTE </w:t>
      </w:r>
      <w:r>
        <w:rPr>
          <w:lang w:val="en-US" w:eastAsia="ja-JP"/>
        </w:rPr>
        <w:t>DL RA type 2</w:t>
      </w:r>
    </w:p>
    <w:p w14:paraId="54A9FD4D" w14:textId="7F2C2BB4" w:rsidR="00A3629E" w:rsidRPr="00A6519F" w:rsidRDefault="3E61DC49" w:rsidP="3E61DC49">
      <w:pPr>
        <w:spacing w:after="120"/>
        <w:jc w:val="both"/>
        <w:rPr>
          <w:rFonts w:eastAsia="MS Mincho"/>
          <w:lang w:val="en-US" w:eastAsia="ja-JP"/>
        </w:rPr>
      </w:pPr>
      <w:r w:rsidRPr="3E61DC49">
        <w:rPr>
          <w:rFonts w:eastAsia="MS Mincho"/>
          <w:lang w:val="en-US" w:eastAsia="ja-JP"/>
        </w:rPr>
        <w:t>This is applicable to PDSCH.</w:t>
      </w:r>
    </w:p>
    <w:p w14:paraId="2CC6F8D6" w14:textId="28855490" w:rsidR="00C77CA4" w:rsidRPr="006719E0" w:rsidRDefault="10E807B4" w:rsidP="10E807B4">
      <w:pPr>
        <w:spacing w:after="120"/>
        <w:jc w:val="both"/>
        <w:rPr>
          <w:rFonts w:eastAsia="MS Mincho"/>
          <w:lang w:val="en-US" w:eastAsia="ja-JP"/>
        </w:rPr>
      </w:pPr>
      <w:r w:rsidRPr="10E807B4">
        <w:rPr>
          <w:rFonts w:eastAsia="MS Mincho"/>
          <w:lang w:val="en-US" w:eastAsia="ja-JP"/>
        </w:rPr>
        <w:t xml:space="preserve">LTE DL RA type 2 indicates the starting virtual RB index and the number of contiguous virtual RBs (VRBs). Depending on whether the virtual RBs are localized or distributed, it can support </w:t>
      </w:r>
      <w:r w:rsidRPr="10E807B4">
        <w:rPr>
          <w:rFonts w:eastAsia="MS Mincho"/>
          <w:b/>
          <w:bCs/>
          <w:lang w:val="en-US" w:eastAsia="ja-JP"/>
        </w:rPr>
        <w:t>contiguous and non-contiguous (deterministic intelace)</w:t>
      </w:r>
      <w:r w:rsidRPr="10E807B4">
        <w:rPr>
          <w:rFonts w:eastAsia="MS Mincho"/>
          <w:lang w:val="en-US" w:eastAsia="ja-JP"/>
        </w:rPr>
        <w:t xml:space="preserve"> allocation. The minimum granularity is a RB. It has a smaller overhead in DCI, and is suitable for a compact DCI format.</w:t>
      </w:r>
    </w:p>
    <w:p w14:paraId="0813B52D" w14:textId="5F14AA91" w:rsidR="00B5109D" w:rsidRDefault="3E61DC49" w:rsidP="3E61DC49">
      <w:pPr>
        <w:spacing w:after="120"/>
        <w:jc w:val="both"/>
        <w:rPr>
          <w:rFonts w:eastAsia="MS Mincho"/>
          <w:lang w:val="en-US" w:eastAsia="ja-JP"/>
        </w:rPr>
      </w:pPr>
      <w:r w:rsidRPr="3E61DC49">
        <w:rPr>
          <w:rFonts w:eastAsia="MS Mincho"/>
          <w:lang w:val="en-US" w:eastAsia="ja-JP"/>
        </w:rPr>
        <w:t>As a simple exercise, we summarize the number of bits needed for resource allocation for type 0 and 2. In this table, we use a variation of type 2, where the granularity is a RBG instead of a RB, and the field size is calculated for different RBG sizes. It can be seen that type 2 provides a small size even when the number of PRBs is as large as 275.</w:t>
      </w:r>
    </w:p>
    <w:p w14:paraId="7034BEDB" w14:textId="36E060B5" w:rsidR="00B5109D" w:rsidRDefault="00B5109D" w:rsidP="00B5109D">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Number of bits for resource allocation type 0/2</w:t>
      </w:r>
    </w:p>
    <w:tbl>
      <w:tblPr>
        <w:tblStyle w:val="TableGrid"/>
        <w:tblW w:w="0" w:type="auto"/>
        <w:jc w:val="center"/>
        <w:tblLook w:val="04A0" w:firstRow="1" w:lastRow="0" w:firstColumn="1" w:lastColumn="0" w:noHBand="0" w:noVBand="1"/>
      </w:tblPr>
      <w:tblGrid>
        <w:gridCol w:w="1194"/>
        <w:gridCol w:w="1053"/>
        <w:gridCol w:w="2660"/>
        <w:gridCol w:w="810"/>
        <w:gridCol w:w="810"/>
        <w:gridCol w:w="810"/>
        <w:gridCol w:w="720"/>
        <w:gridCol w:w="810"/>
      </w:tblGrid>
      <w:tr w:rsidR="00B470A7" w14:paraId="67436F09" w14:textId="77777777" w:rsidTr="10E807B4">
        <w:trPr>
          <w:jc w:val="center"/>
        </w:trPr>
        <w:tc>
          <w:tcPr>
            <w:tcW w:w="1194" w:type="dxa"/>
            <w:shd w:val="clear" w:color="auto" w:fill="D9D9D9" w:themeFill="background1" w:themeFillShade="D9"/>
          </w:tcPr>
          <w:p w14:paraId="39EFB613" w14:textId="346D56AB" w:rsidR="00B5109D" w:rsidRDefault="00B5109D" w:rsidP="003B3C64">
            <w:pPr>
              <w:spacing w:after="120"/>
              <w:jc w:val="both"/>
              <w:rPr>
                <w:rFonts w:eastAsia="MS Mincho"/>
                <w:lang w:val="en-US" w:eastAsia="ja-JP"/>
              </w:rPr>
            </w:pPr>
          </w:p>
        </w:tc>
        <w:tc>
          <w:tcPr>
            <w:tcW w:w="1053" w:type="dxa"/>
            <w:shd w:val="clear" w:color="auto" w:fill="D9D9D9" w:themeFill="background1" w:themeFillShade="D9"/>
          </w:tcPr>
          <w:p w14:paraId="3C28CEA5" w14:textId="57D3D93A" w:rsidR="00B5109D" w:rsidRDefault="00B5109D" w:rsidP="003B3C64">
            <w:pPr>
              <w:spacing w:after="120"/>
              <w:jc w:val="both"/>
              <w:rPr>
                <w:rFonts w:eastAsia="MS Mincho"/>
                <w:lang w:val="en-US" w:eastAsia="ja-JP"/>
              </w:rPr>
            </w:pPr>
          </w:p>
        </w:tc>
        <w:tc>
          <w:tcPr>
            <w:tcW w:w="2660" w:type="dxa"/>
            <w:shd w:val="clear" w:color="auto" w:fill="D9D9D9" w:themeFill="background1" w:themeFillShade="D9"/>
          </w:tcPr>
          <w:p w14:paraId="048C5E52" w14:textId="77777777" w:rsidR="00B5109D" w:rsidRDefault="00B5109D" w:rsidP="003B3C64">
            <w:pPr>
              <w:spacing w:after="120"/>
              <w:jc w:val="both"/>
              <w:rPr>
                <w:rFonts w:eastAsia="MS Mincho"/>
                <w:lang w:val="en-US" w:eastAsia="ja-JP"/>
              </w:rPr>
            </w:pPr>
          </w:p>
        </w:tc>
        <w:tc>
          <w:tcPr>
            <w:tcW w:w="3960" w:type="dxa"/>
            <w:gridSpan w:val="5"/>
            <w:shd w:val="clear" w:color="auto" w:fill="D9D9D9" w:themeFill="background1" w:themeFillShade="D9"/>
          </w:tcPr>
          <w:p w14:paraId="19DDA659" w14:textId="32C51EED" w:rsidR="00B5109D" w:rsidRDefault="3E61DC49" w:rsidP="3E61DC49">
            <w:pPr>
              <w:spacing w:after="120"/>
              <w:jc w:val="center"/>
              <w:rPr>
                <w:rFonts w:eastAsia="MS Mincho"/>
                <w:lang w:val="en-US" w:eastAsia="ja-JP"/>
              </w:rPr>
            </w:pPr>
            <w:r w:rsidRPr="3E61DC49">
              <w:rPr>
                <w:rFonts w:eastAsia="MS Mincho"/>
                <w:lang w:val="en-US" w:eastAsia="ja-JP"/>
              </w:rPr>
              <w:t>RBG size</w:t>
            </w:r>
          </w:p>
        </w:tc>
      </w:tr>
      <w:tr w:rsidR="00B5109D" w14:paraId="2D8DF29E" w14:textId="77777777" w:rsidTr="10E807B4">
        <w:trPr>
          <w:jc w:val="center"/>
        </w:trPr>
        <w:tc>
          <w:tcPr>
            <w:tcW w:w="1194" w:type="dxa"/>
            <w:tcBorders>
              <w:bottom w:val="single" w:sz="4" w:space="0" w:color="auto"/>
            </w:tcBorders>
            <w:shd w:val="clear" w:color="auto" w:fill="D9D9D9" w:themeFill="background1" w:themeFillShade="D9"/>
          </w:tcPr>
          <w:p w14:paraId="22E61455" w14:textId="0420BF4C" w:rsidR="00B5109D" w:rsidRDefault="3E61DC49" w:rsidP="3E61DC49">
            <w:pPr>
              <w:spacing w:after="120"/>
              <w:jc w:val="center"/>
              <w:rPr>
                <w:rFonts w:eastAsia="MS Mincho"/>
                <w:lang w:val="en-US" w:eastAsia="ja-JP"/>
              </w:rPr>
            </w:pPr>
            <w:r w:rsidRPr="3E61DC49">
              <w:rPr>
                <w:rFonts w:eastAsia="MS Mincho"/>
                <w:lang w:val="en-US" w:eastAsia="ja-JP"/>
              </w:rPr>
              <w:lastRenderedPageBreak/>
              <w:t># of SCs</w:t>
            </w:r>
          </w:p>
        </w:tc>
        <w:tc>
          <w:tcPr>
            <w:tcW w:w="1053" w:type="dxa"/>
            <w:tcBorders>
              <w:bottom w:val="single" w:sz="4" w:space="0" w:color="auto"/>
            </w:tcBorders>
            <w:shd w:val="clear" w:color="auto" w:fill="D9D9D9" w:themeFill="background1" w:themeFillShade="D9"/>
          </w:tcPr>
          <w:p w14:paraId="6FA6C669" w14:textId="703303D6" w:rsidR="00B5109D" w:rsidRDefault="3E61DC49" w:rsidP="3E61DC49">
            <w:pPr>
              <w:spacing w:after="120"/>
              <w:jc w:val="center"/>
              <w:rPr>
                <w:rFonts w:eastAsia="MS Mincho"/>
                <w:lang w:val="en-US" w:eastAsia="ja-JP"/>
              </w:rPr>
            </w:pPr>
            <w:r w:rsidRPr="3E61DC49">
              <w:rPr>
                <w:rFonts w:eastAsia="MS Mincho"/>
                <w:lang w:val="en-US" w:eastAsia="ja-JP"/>
              </w:rPr>
              <w:t># of PRBs</w:t>
            </w:r>
          </w:p>
        </w:tc>
        <w:tc>
          <w:tcPr>
            <w:tcW w:w="2660" w:type="dxa"/>
            <w:tcBorders>
              <w:bottom w:val="single" w:sz="4" w:space="0" w:color="auto"/>
            </w:tcBorders>
            <w:shd w:val="clear" w:color="auto" w:fill="D9D9D9" w:themeFill="background1" w:themeFillShade="D9"/>
          </w:tcPr>
          <w:p w14:paraId="6C16998F" w14:textId="77777777" w:rsidR="00B5109D" w:rsidRDefault="00B5109D" w:rsidP="003B3C64">
            <w:pPr>
              <w:spacing w:after="120"/>
              <w:jc w:val="both"/>
              <w:rPr>
                <w:rFonts w:eastAsia="MS Mincho"/>
                <w:lang w:val="en-US" w:eastAsia="ja-JP"/>
              </w:rPr>
            </w:pPr>
          </w:p>
        </w:tc>
        <w:tc>
          <w:tcPr>
            <w:tcW w:w="810" w:type="dxa"/>
            <w:tcBorders>
              <w:bottom w:val="single" w:sz="4" w:space="0" w:color="auto"/>
            </w:tcBorders>
            <w:shd w:val="clear" w:color="auto" w:fill="D9D9D9" w:themeFill="background1" w:themeFillShade="D9"/>
          </w:tcPr>
          <w:p w14:paraId="3A0E070C" w14:textId="7601222A" w:rsidR="00B5109D" w:rsidRDefault="10E807B4" w:rsidP="10E807B4">
            <w:pPr>
              <w:spacing w:after="120"/>
              <w:jc w:val="center"/>
              <w:rPr>
                <w:rFonts w:eastAsia="MS Mincho"/>
                <w:lang w:val="en-US" w:eastAsia="ja-JP"/>
              </w:rPr>
            </w:pPr>
            <w:r w:rsidRPr="10E807B4">
              <w:rPr>
                <w:rFonts w:eastAsia="MS Mincho"/>
                <w:lang w:val="en-US" w:eastAsia="ja-JP"/>
              </w:rPr>
              <w:t>1</w:t>
            </w:r>
          </w:p>
        </w:tc>
        <w:tc>
          <w:tcPr>
            <w:tcW w:w="810" w:type="dxa"/>
            <w:tcBorders>
              <w:bottom w:val="single" w:sz="4" w:space="0" w:color="auto"/>
            </w:tcBorders>
            <w:shd w:val="clear" w:color="auto" w:fill="D9D9D9" w:themeFill="background1" w:themeFillShade="D9"/>
          </w:tcPr>
          <w:p w14:paraId="47313A31" w14:textId="2488A516" w:rsidR="00B5109D" w:rsidRDefault="10E807B4" w:rsidP="10E807B4">
            <w:pPr>
              <w:spacing w:after="120"/>
              <w:jc w:val="center"/>
              <w:rPr>
                <w:rFonts w:eastAsia="MS Mincho"/>
                <w:lang w:val="en-US" w:eastAsia="ja-JP"/>
              </w:rPr>
            </w:pPr>
            <w:r w:rsidRPr="10E807B4">
              <w:rPr>
                <w:rFonts w:eastAsia="MS Mincho"/>
                <w:lang w:val="en-US" w:eastAsia="ja-JP"/>
              </w:rPr>
              <w:t>2</w:t>
            </w:r>
          </w:p>
        </w:tc>
        <w:tc>
          <w:tcPr>
            <w:tcW w:w="810" w:type="dxa"/>
            <w:shd w:val="clear" w:color="auto" w:fill="D9D9D9" w:themeFill="background1" w:themeFillShade="D9"/>
          </w:tcPr>
          <w:p w14:paraId="469233AE" w14:textId="29321256" w:rsidR="00B5109D" w:rsidRDefault="10E807B4" w:rsidP="10E807B4">
            <w:pPr>
              <w:spacing w:after="120"/>
              <w:jc w:val="center"/>
              <w:rPr>
                <w:rFonts w:eastAsia="MS Mincho"/>
                <w:lang w:val="en-US" w:eastAsia="ja-JP"/>
              </w:rPr>
            </w:pPr>
            <w:r w:rsidRPr="10E807B4">
              <w:rPr>
                <w:rFonts w:eastAsia="MS Mincho"/>
                <w:lang w:val="en-US" w:eastAsia="ja-JP"/>
              </w:rPr>
              <w:t>4</w:t>
            </w:r>
          </w:p>
        </w:tc>
        <w:tc>
          <w:tcPr>
            <w:tcW w:w="720" w:type="dxa"/>
            <w:shd w:val="clear" w:color="auto" w:fill="D9D9D9" w:themeFill="background1" w:themeFillShade="D9"/>
          </w:tcPr>
          <w:p w14:paraId="71D577CB" w14:textId="00F642D1" w:rsidR="00B5109D" w:rsidRDefault="10E807B4" w:rsidP="10E807B4">
            <w:pPr>
              <w:spacing w:after="120"/>
              <w:jc w:val="center"/>
              <w:rPr>
                <w:rFonts w:eastAsia="MS Mincho"/>
                <w:lang w:val="en-US" w:eastAsia="ja-JP"/>
              </w:rPr>
            </w:pPr>
            <w:r w:rsidRPr="10E807B4">
              <w:rPr>
                <w:rFonts w:eastAsia="MS Mincho"/>
                <w:lang w:val="en-US" w:eastAsia="ja-JP"/>
              </w:rPr>
              <w:t>8</w:t>
            </w:r>
          </w:p>
        </w:tc>
        <w:tc>
          <w:tcPr>
            <w:tcW w:w="810" w:type="dxa"/>
            <w:shd w:val="clear" w:color="auto" w:fill="D9D9D9" w:themeFill="background1" w:themeFillShade="D9"/>
          </w:tcPr>
          <w:p w14:paraId="2561A1EE" w14:textId="4DAA4998" w:rsidR="00B5109D" w:rsidRDefault="10E807B4" w:rsidP="10E807B4">
            <w:pPr>
              <w:spacing w:after="120"/>
              <w:jc w:val="center"/>
              <w:rPr>
                <w:rFonts w:eastAsia="MS Mincho"/>
                <w:lang w:val="en-US" w:eastAsia="ja-JP"/>
              </w:rPr>
            </w:pPr>
            <w:r w:rsidRPr="10E807B4">
              <w:rPr>
                <w:rFonts w:eastAsia="MS Mincho"/>
                <w:lang w:val="en-US" w:eastAsia="ja-JP"/>
              </w:rPr>
              <w:t>16</w:t>
            </w:r>
          </w:p>
        </w:tc>
      </w:tr>
      <w:tr w:rsidR="00B5109D" w14:paraId="3A71B821" w14:textId="77777777" w:rsidTr="10E807B4">
        <w:trPr>
          <w:jc w:val="center"/>
        </w:trPr>
        <w:tc>
          <w:tcPr>
            <w:tcW w:w="1194" w:type="dxa"/>
            <w:vMerge w:val="restart"/>
            <w:shd w:val="clear" w:color="auto" w:fill="D9D9D9" w:themeFill="background1" w:themeFillShade="D9"/>
            <w:vAlign w:val="center"/>
          </w:tcPr>
          <w:p w14:paraId="210789C8" w14:textId="4C1C80B3" w:rsidR="00B5109D" w:rsidRDefault="10E807B4" w:rsidP="10E807B4">
            <w:pPr>
              <w:spacing w:after="120"/>
              <w:jc w:val="center"/>
              <w:rPr>
                <w:rFonts w:eastAsia="MS Mincho"/>
                <w:lang w:val="en-US" w:eastAsia="ja-JP"/>
              </w:rPr>
            </w:pPr>
            <w:r w:rsidRPr="10E807B4">
              <w:rPr>
                <w:rFonts w:eastAsia="MS Mincho"/>
                <w:lang w:val="en-US" w:eastAsia="ja-JP"/>
              </w:rPr>
              <w:t>1200</w:t>
            </w:r>
          </w:p>
        </w:tc>
        <w:tc>
          <w:tcPr>
            <w:tcW w:w="1053" w:type="dxa"/>
            <w:vMerge w:val="restart"/>
            <w:shd w:val="clear" w:color="auto" w:fill="D9D9D9" w:themeFill="background1" w:themeFillShade="D9"/>
            <w:vAlign w:val="center"/>
          </w:tcPr>
          <w:p w14:paraId="393D8B82" w14:textId="00283F41" w:rsidR="00B5109D" w:rsidRDefault="10E807B4" w:rsidP="10E807B4">
            <w:pPr>
              <w:spacing w:after="120"/>
              <w:jc w:val="center"/>
              <w:rPr>
                <w:rFonts w:eastAsia="MS Mincho"/>
                <w:lang w:val="en-US" w:eastAsia="ja-JP"/>
              </w:rPr>
            </w:pPr>
            <w:r w:rsidRPr="10E807B4">
              <w:rPr>
                <w:rFonts w:eastAsia="MS Mincho"/>
                <w:lang w:val="en-US" w:eastAsia="ja-JP"/>
              </w:rPr>
              <w:t>100</w:t>
            </w:r>
          </w:p>
        </w:tc>
        <w:tc>
          <w:tcPr>
            <w:tcW w:w="2660" w:type="dxa"/>
            <w:shd w:val="clear" w:color="auto" w:fill="D9D9D9" w:themeFill="background1" w:themeFillShade="D9"/>
          </w:tcPr>
          <w:p w14:paraId="091DC981" w14:textId="58EAC609" w:rsidR="00B5109D" w:rsidRDefault="3E61DC49" w:rsidP="3E61DC49">
            <w:pPr>
              <w:spacing w:after="120"/>
              <w:jc w:val="both"/>
              <w:rPr>
                <w:rFonts w:eastAsia="MS Mincho"/>
                <w:lang w:val="en-US" w:eastAsia="ja-JP"/>
              </w:rPr>
            </w:pPr>
            <w:r w:rsidRPr="3E61DC49">
              <w:rPr>
                <w:rFonts w:eastAsia="MS Mincho"/>
                <w:lang w:val="en-US" w:eastAsia="ja-JP"/>
              </w:rPr>
              <w:t>Type 0</w:t>
            </w:r>
          </w:p>
        </w:tc>
        <w:tc>
          <w:tcPr>
            <w:tcW w:w="810" w:type="dxa"/>
            <w:shd w:val="clear" w:color="auto" w:fill="A6A6A6" w:themeFill="background1" w:themeFillShade="A6"/>
          </w:tcPr>
          <w:p w14:paraId="56C81415" w14:textId="3FD7BFA2" w:rsidR="00B5109D" w:rsidRPr="006A5474" w:rsidRDefault="10E807B4" w:rsidP="10E807B4">
            <w:pPr>
              <w:spacing w:after="120"/>
              <w:jc w:val="center"/>
              <w:rPr>
                <w:rFonts w:eastAsia="MS Mincho"/>
                <w:lang w:val="en-US" w:eastAsia="ja-JP"/>
              </w:rPr>
            </w:pPr>
            <w:r w:rsidRPr="10E807B4">
              <w:rPr>
                <w:rFonts w:eastAsia="MS Mincho"/>
                <w:lang w:val="en-US" w:eastAsia="ja-JP"/>
              </w:rPr>
              <w:t>100</w:t>
            </w:r>
          </w:p>
        </w:tc>
        <w:tc>
          <w:tcPr>
            <w:tcW w:w="810" w:type="dxa"/>
            <w:shd w:val="clear" w:color="auto" w:fill="A6A6A6" w:themeFill="background1" w:themeFillShade="A6"/>
          </w:tcPr>
          <w:p w14:paraId="54B748A3" w14:textId="65AED93E" w:rsidR="00B5109D" w:rsidRPr="00EC4904" w:rsidRDefault="10E807B4" w:rsidP="10E807B4">
            <w:pPr>
              <w:spacing w:after="120"/>
              <w:jc w:val="center"/>
              <w:rPr>
                <w:rFonts w:eastAsia="MS Mincho"/>
                <w:lang w:val="en-US" w:eastAsia="ja-JP"/>
              </w:rPr>
            </w:pPr>
            <w:r w:rsidRPr="10E807B4">
              <w:rPr>
                <w:rFonts w:eastAsia="MS Mincho"/>
                <w:lang w:val="en-US" w:eastAsia="ja-JP"/>
              </w:rPr>
              <w:t>50</w:t>
            </w:r>
          </w:p>
        </w:tc>
        <w:tc>
          <w:tcPr>
            <w:tcW w:w="810" w:type="dxa"/>
          </w:tcPr>
          <w:p w14:paraId="166A7B58" w14:textId="1464B820" w:rsidR="00B5109D" w:rsidRPr="002C770F" w:rsidRDefault="10E807B4" w:rsidP="10E807B4">
            <w:pPr>
              <w:spacing w:after="120"/>
              <w:jc w:val="center"/>
              <w:rPr>
                <w:rFonts w:eastAsia="MS Mincho"/>
                <w:lang w:val="en-US" w:eastAsia="ja-JP"/>
              </w:rPr>
            </w:pPr>
            <w:r w:rsidRPr="10E807B4">
              <w:rPr>
                <w:rFonts w:eastAsia="MS Mincho"/>
                <w:lang w:val="en-US" w:eastAsia="ja-JP"/>
              </w:rPr>
              <w:t>25</w:t>
            </w:r>
          </w:p>
        </w:tc>
        <w:tc>
          <w:tcPr>
            <w:tcW w:w="720" w:type="dxa"/>
          </w:tcPr>
          <w:p w14:paraId="0E0AA88D" w14:textId="3168C427" w:rsidR="00B5109D" w:rsidRPr="006A5474" w:rsidRDefault="10E807B4" w:rsidP="10E807B4">
            <w:pPr>
              <w:spacing w:after="120"/>
              <w:jc w:val="center"/>
              <w:rPr>
                <w:rFonts w:eastAsia="MS Mincho"/>
                <w:lang w:val="en-US" w:eastAsia="ja-JP"/>
              </w:rPr>
            </w:pPr>
            <w:r w:rsidRPr="10E807B4">
              <w:rPr>
                <w:rFonts w:eastAsia="MS Mincho"/>
                <w:lang w:val="en-US" w:eastAsia="ja-JP"/>
              </w:rPr>
              <w:t>13</w:t>
            </w:r>
          </w:p>
        </w:tc>
        <w:tc>
          <w:tcPr>
            <w:tcW w:w="810" w:type="dxa"/>
          </w:tcPr>
          <w:p w14:paraId="49F0EAEF" w14:textId="1B39CEA2" w:rsidR="00B5109D" w:rsidRPr="00EC4904" w:rsidRDefault="10E807B4" w:rsidP="10E807B4">
            <w:pPr>
              <w:spacing w:after="120"/>
              <w:jc w:val="center"/>
              <w:rPr>
                <w:rFonts w:eastAsia="MS Mincho"/>
                <w:lang w:val="en-US" w:eastAsia="ja-JP"/>
              </w:rPr>
            </w:pPr>
            <w:r w:rsidRPr="10E807B4">
              <w:rPr>
                <w:rFonts w:eastAsia="MS Mincho"/>
                <w:lang w:val="en-US" w:eastAsia="ja-JP"/>
              </w:rPr>
              <w:t>7</w:t>
            </w:r>
          </w:p>
        </w:tc>
      </w:tr>
      <w:tr w:rsidR="00B5109D" w14:paraId="6952A84A" w14:textId="77777777" w:rsidTr="10E807B4">
        <w:trPr>
          <w:jc w:val="center"/>
        </w:trPr>
        <w:tc>
          <w:tcPr>
            <w:tcW w:w="1194" w:type="dxa"/>
            <w:vMerge/>
            <w:shd w:val="clear" w:color="auto" w:fill="D9D9D9" w:themeFill="background1" w:themeFillShade="D9"/>
          </w:tcPr>
          <w:p w14:paraId="37B193A5" w14:textId="77777777" w:rsidR="00B5109D" w:rsidRDefault="00B5109D" w:rsidP="00B5109D">
            <w:pPr>
              <w:spacing w:after="120"/>
              <w:jc w:val="center"/>
              <w:rPr>
                <w:rFonts w:eastAsia="MS Mincho"/>
                <w:lang w:val="en-US" w:eastAsia="ja-JP"/>
              </w:rPr>
            </w:pPr>
          </w:p>
        </w:tc>
        <w:tc>
          <w:tcPr>
            <w:tcW w:w="1053" w:type="dxa"/>
            <w:vMerge/>
            <w:shd w:val="clear" w:color="auto" w:fill="D9D9D9" w:themeFill="background1" w:themeFillShade="D9"/>
          </w:tcPr>
          <w:p w14:paraId="3279E99F" w14:textId="77777777" w:rsidR="00B5109D" w:rsidRDefault="00B5109D" w:rsidP="00B5109D">
            <w:pPr>
              <w:spacing w:after="120"/>
              <w:jc w:val="center"/>
              <w:rPr>
                <w:rFonts w:eastAsia="MS Mincho"/>
                <w:lang w:val="en-US" w:eastAsia="ja-JP"/>
              </w:rPr>
            </w:pPr>
          </w:p>
        </w:tc>
        <w:tc>
          <w:tcPr>
            <w:tcW w:w="2660" w:type="dxa"/>
            <w:shd w:val="clear" w:color="auto" w:fill="D9D9D9" w:themeFill="background1" w:themeFillShade="D9"/>
          </w:tcPr>
          <w:p w14:paraId="0A0459F3" w14:textId="3EDAA306" w:rsidR="00B5109D" w:rsidRDefault="3E61DC49" w:rsidP="3E61DC49">
            <w:pPr>
              <w:spacing w:after="120"/>
              <w:jc w:val="both"/>
              <w:rPr>
                <w:rFonts w:eastAsia="MS Mincho"/>
                <w:lang w:val="en-US" w:eastAsia="ja-JP"/>
              </w:rPr>
            </w:pPr>
            <w:r w:rsidRPr="3E61DC49">
              <w:rPr>
                <w:rFonts w:eastAsia="MS Mincho"/>
                <w:lang w:val="en-US" w:eastAsia="ja-JP"/>
              </w:rPr>
              <w:t>Type 2 with RBG granularity</w:t>
            </w:r>
          </w:p>
        </w:tc>
        <w:tc>
          <w:tcPr>
            <w:tcW w:w="810" w:type="dxa"/>
            <w:tcBorders>
              <w:bottom w:val="single" w:sz="4" w:space="0" w:color="auto"/>
            </w:tcBorders>
          </w:tcPr>
          <w:p w14:paraId="63FB62F1" w14:textId="34C6908F" w:rsidR="00B5109D" w:rsidRPr="006A5474" w:rsidRDefault="10E807B4" w:rsidP="10E807B4">
            <w:pPr>
              <w:spacing w:after="120"/>
              <w:jc w:val="center"/>
              <w:rPr>
                <w:rFonts w:eastAsia="MS Mincho"/>
                <w:lang w:val="en-US" w:eastAsia="ja-JP"/>
              </w:rPr>
            </w:pPr>
            <w:r w:rsidRPr="10E807B4">
              <w:rPr>
                <w:rFonts w:eastAsia="MS Mincho"/>
                <w:lang w:val="en-US" w:eastAsia="ja-JP"/>
              </w:rPr>
              <w:t>13</w:t>
            </w:r>
          </w:p>
        </w:tc>
        <w:tc>
          <w:tcPr>
            <w:tcW w:w="810" w:type="dxa"/>
            <w:tcBorders>
              <w:bottom w:val="single" w:sz="4" w:space="0" w:color="auto"/>
            </w:tcBorders>
          </w:tcPr>
          <w:p w14:paraId="3E0FA313" w14:textId="035D6935" w:rsidR="00B5109D" w:rsidRPr="00EC4904" w:rsidRDefault="10E807B4" w:rsidP="10E807B4">
            <w:pPr>
              <w:spacing w:after="120"/>
              <w:jc w:val="center"/>
              <w:rPr>
                <w:rFonts w:eastAsia="MS Mincho"/>
                <w:lang w:val="en-US" w:eastAsia="ja-JP"/>
              </w:rPr>
            </w:pPr>
            <w:r w:rsidRPr="10E807B4">
              <w:rPr>
                <w:rFonts w:eastAsia="MS Mincho"/>
                <w:lang w:val="en-US" w:eastAsia="ja-JP"/>
              </w:rPr>
              <w:t>11</w:t>
            </w:r>
          </w:p>
        </w:tc>
        <w:tc>
          <w:tcPr>
            <w:tcW w:w="810" w:type="dxa"/>
            <w:tcBorders>
              <w:bottom w:val="single" w:sz="4" w:space="0" w:color="auto"/>
            </w:tcBorders>
          </w:tcPr>
          <w:p w14:paraId="78EFDC7A" w14:textId="6B000AC2" w:rsidR="00B5109D" w:rsidRPr="002C770F" w:rsidRDefault="10E807B4" w:rsidP="10E807B4">
            <w:pPr>
              <w:spacing w:after="120"/>
              <w:jc w:val="center"/>
              <w:rPr>
                <w:rFonts w:eastAsia="MS Mincho"/>
                <w:lang w:val="en-US" w:eastAsia="ja-JP"/>
              </w:rPr>
            </w:pPr>
            <w:r w:rsidRPr="10E807B4">
              <w:rPr>
                <w:rFonts w:eastAsia="MS Mincho"/>
                <w:lang w:val="en-US" w:eastAsia="ja-JP"/>
              </w:rPr>
              <w:t>9</w:t>
            </w:r>
          </w:p>
        </w:tc>
        <w:tc>
          <w:tcPr>
            <w:tcW w:w="720" w:type="dxa"/>
          </w:tcPr>
          <w:p w14:paraId="24EA2697" w14:textId="7BA99F52" w:rsidR="00B5109D" w:rsidRPr="00EF54D1" w:rsidRDefault="10E807B4" w:rsidP="10E807B4">
            <w:pPr>
              <w:spacing w:after="120"/>
              <w:jc w:val="center"/>
              <w:rPr>
                <w:rFonts w:eastAsia="MS Mincho"/>
                <w:lang w:val="en-US" w:eastAsia="ja-JP"/>
              </w:rPr>
            </w:pPr>
            <w:r w:rsidRPr="10E807B4">
              <w:rPr>
                <w:rFonts w:eastAsia="MS Mincho"/>
                <w:lang w:val="en-US" w:eastAsia="ja-JP"/>
              </w:rPr>
              <w:t>7</w:t>
            </w:r>
          </w:p>
        </w:tc>
        <w:tc>
          <w:tcPr>
            <w:tcW w:w="810" w:type="dxa"/>
          </w:tcPr>
          <w:p w14:paraId="45D7227B" w14:textId="35520DE4" w:rsidR="00B5109D" w:rsidRPr="006A5474" w:rsidRDefault="10E807B4" w:rsidP="10E807B4">
            <w:pPr>
              <w:spacing w:after="120"/>
              <w:jc w:val="center"/>
              <w:rPr>
                <w:rFonts w:eastAsia="MS Mincho"/>
                <w:lang w:val="en-US" w:eastAsia="ja-JP"/>
              </w:rPr>
            </w:pPr>
            <w:r w:rsidRPr="10E807B4">
              <w:rPr>
                <w:rFonts w:eastAsia="MS Mincho"/>
                <w:lang w:val="en-US" w:eastAsia="ja-JP"/>
              </w:rPr>
              <w:t>5</w:t>
            </w:r>
          </w:p>
        </w:tc>
      </w:tr>
      <w:tr w:rsidR="00B5109D" w14:paraId="52B18DA7" w14:textId="77777777" w:rsidTr="10E807B4">
        <w:trPr>
          <w:jc w:val="center"/>
        </w:trPr>
        <w:tc>
          <w:tcPr>
            <w:tcW w:w="1194" w:type="dxa"/>
            <w:vMerge w:val="restart"/>
            <w:shd w:val="clear" w:color="auto" w:fill="D9D9D9" w:themeFill="background1" w:themeFillShade="D9"/>
            <w:vAlign w:val="center"/>
          </w:tcPr>
          <w:p w14:paraId="1A6FC2A4" w14:textId="02590E1D" w:rsidR="00B5109D" w:rsidRDefault="10E807B4" w:rsidP="10E807B4">
            <w:pPr>
              <w:spacing w:after="120"/>
              <w:jc w:val="center"/>
              <w:rPr>
                <w:rFonts w:eastAsia="MS Mincho"/>
                <w:lang w:val="en-US" w:eastAsia="ja-JP"/>
              </w:rPr>
            </w:pPr>
            <w:r w:rsidRPr="10E807B4">
              <w:rPr>
                <w:rFonts w:eastAsia="MS Mincho"/>
                <w:lang w:val="en-US" w:eastAsia="ja-JP"/>
              </w:rPr>
              <w:t>3300</w:t>
            </w:r>
          </w:p>
        </w:tc>
        <w:tc>
          <w:tcPr>
            <w:tcW w:w="1053" w:type="dxa"/>
            <w:vMerge w:val="restart"/>
            <w:shd w:val="clear" w:color="auto" w:fill="D9D9D9" w:themeFill="background1" w:themeFillShade="D9"/>
            <w:vAlign w:val="center"/>
          </w:tcPr>
          <w:p w14:paraId="4C8ADB0E" w14:textId="7EFB52C2" w:rsidR="00B5109D" w:rsidRDefault="10E807B4" w:rsidP="10E807B4">
            <w:pPr>
              <w:spacing w:after="120"/>
              <w:jc w:val="center"/>
              <w:rPr>
                <w:rFonts w:eastAsia="MS Mincho"/>
                <w:lang w:val="en-US" w:eastAsia="ja-JP"/>
              </w:rPr>
            </w:pPr>
            <w:r w:rsidRPr="10E807B4">
              <w:rPr>
                <w:rFonts w:eastAsia="MS Mincho"/>
                <w:lang w:val="en-US" w:eastAsia="ja-JP"/>
              </w:rPr>
              <w:t>275</w:t>
            </w:r>
          </w:p>
        </w:tc>
        <w:tc>
          <w:tcPr>
            <w:tcW w:w="2660" w:type="dxa"/>
            <w:shd w:val="clear" w:color="auto" w:fill="D9D9D9" w:themeFill="background1" w:themeFillShade="D9"/>
          </w:tcPr>
          <w:p w14:paraId="06027AE3" w14:textId="41BC2FA5" w:rsidR="00B5109D" w:rsidRDefault="3E61DC49" w:rsidP="3E61DC49">
            <w:pPr>
              <w:spacing w:after="120"/>
              <w:jc w:val="both"/>
              <w:rPr>
                <w:rFonts w:eastAsia="MS Mincho"/>
                <w:lang w:val="en-US" w:eastAsia="ja-JP"/>
              </w:rPr>
            </w:pPr>
            <w:r w:rsidRPr="3E61DC49">
              <w:rPr>
                <w:rFonts w:eastAsia="MS Mincho"/>
                <w:lang w:val="en-US" w:eastAsia="ja-JP"/>
              </w:rPr>
              <w:t>Type 0</w:t>
            </w:r>
          </w:p>
        </w:tc>
        <w:tc>
          <w:tcPr>
            <w:tcW w:w="810" w:type="dxa"/>
            <w:shd w:val="clear" w:color="auto" w:fill="A6A6A6" w:themeFill="background1" w:themeFillShade="A6"/>
          </w:tcPr>
          <w:p w14:paraId="2830FEEE" w14:textId="365942D9" w:rsidR="00B5109D" w:rsidRPr="006A5474" w:rsidRDefault="10E807B4" w:rsidP="10E807B4">
            <w:pPr>
              <w:spacing w:after="120"/>
              <w:jc w:val="center"/>
              <w:rPr>
                <w:rFonts w:eastAsia="MS Mincho"/>
                <w:lang w:val="en-US" w:eastAsia="ja-JP"/>
              </w:rPr>
            </w:pPr>
            <w:r w:rsidRPr="10E807B4">
              <w:rPr>
                <w:rFonts w:eastAsia="MS Mincho"/>
                <w:lang w:val="en-US" w:eastAsia="ja-JP"/>
              </w:rPr>
              <w:t>275</w:t>
            </w:r>
          </w:p>
        </w:tc>
        <w:tc>
          <w:tcPr>
            <w:tcW w:w="810" w:type="dxa"/>
            <w:shd w:val="clear" w:color="auto" w:fill="A6A6A6" w:themeFill="background1" w:themeFillShade="A6"/>
          </w:tcPr>
          <w:p w14:paraId="7AB0A73B" w14:textId="570E42AF" w:rsidR="00B5109D" w:rsidRPr="00EC4904" w:rsidRDefault="10E807B4" w:rsidP="10E807B4">
            <w:pPr>
              <w:spacing w:after="120"/>
              <w:jc w:val="center"/>
              <w:rPr>
                <w:rFonts w:eastAsia="MS Mincho"/>
                <w:lang w:val="en-US" w:eastAsia="ja-JP"/>
              </w:rPr>
            </w:pPr>
            <w:r w:rsidRPr="10E807B4">
              <w:rPr>
                <w:rFonts w:eastAsia="MS Mincho"/>
                <w:lang w:val="en-US" w:eastAsia="ja-JP"/>
              </w:rPr>
              <w:t>138</w:t>
            </w:r>
          </w:p>
        </w:tc>
        <w:tc>
          <w:tcPr>
            <w:tcW w:w="810" w:type="dxa"/>
            <w:shd w:val="clear" w:color="auto" w:fill="A6A6A6" w:themeFill="background1" w:themeFillShade="A6"/>
          </w:tcPr>
          <w:p w14:paraId="660C7A2B" w14:textId="67AA0389" w:rsidR="00B5109D" w:rsidRPr="002C770F" w:rsidRDefault="10E807B4" w:rsidP="10E807B4">
            <w:pPr>
              <w:spacing w:after="120"/>
              <w:jc w:val="center"/>
              <w:rPr>
                <w:rFonts w:eastAsia="MS Mincho"/>
                <w:lang w:val="en-US" w:eastAsia="ja-JP"/>
              </w:rPr>
            </w:pPr>
            <w:r w:rsidRPr="10E807B4">
              <w:rPr>
                <w:rFonts w:eastAsia="MS Mincho"/>
                <w:lang w:val="en-US" w:eastAsia="ja-JP"/>
              </w:rPr>
              <w:t>69</w:t>
            </w:r>
          </w:p>
        </w:tc>
        <w:tc>
          <w:tcPr>
            <w:tcW w:w="720" w:type="dxa"/>
          </w:tcPr>
          <w:p w14:paraId="07B7A7A7" w14:textId="12A82FF7" w:rsidR="00B5109D" w:rsidRPr="00EF54D1" w:rsidRDefault="10E807B4" w:rsidP="10E807B4">
            <w:pPr>
              <w:spacing w:after="120"/>
              <w:jc w:val="center"/>
              <w:rPr>
                <w:rFonts w:eastAsia="MS Mincho"/>
                <w:lang w:val="en-US" w:eastAsia="ja-JP"/>
              </w:rPr>
            </w:pPr>
            <w:r w:rsidRPr="10E807B4">
              <w:rPr>
                <w:rFonts w:eastAsia="MS Mincho"/>
                <w:lang w:val="en-US" w:eastAsia="ja-JP"/>
              </w:rPr>
              <w:t>35</w:t>
            </w:r>
          </w:p>
        </w:tc>
        <w:tc>
          <w:tcPr>
            <w:tcW w:w="810" w:type="dxa"/>
          </w:tcPr>
          <w:p w14:paraId="2BA777F4" w14:textId="3F7B6E61" w:rsidR="00B5109D" w:rsidRPr="006A5474" w:rsidRDefault="10E807B4" w:rsidP="10E807B4">
            <w:pPr>
              <w:spacing w:after="120"/>
              <w:jc w:val="center"/>
              <w:rPr>
                <w:rFonts w:eastAsia="MS Mincho"/>
                <w:lang w:val="en-US" w:eastAsia="ja-JP"/>
              </w:rPr>
            </w:pPr>
            <w:r w:rsidRPr="10E807B4">
              <w:rPr>
                <w:rFonts w:eastAsia="MS Mincho"/>
                <w:lang w:val="en-US" w:eastAsia="ja-JP"/>
              </w:rPr>
              <w:t>18</w:t>
            </w:r>
          </w:p>
        </w:tc>
      </w:tr>
      <w:tr w:rsidR="00B5109D" w14:paraId="5EBC273D" w14:textId="77777777" w:rsidTr="10E807B4">
        <w:trPr>
          <w:jc w:val="center"/>
        </w:trPr>
        <w:tc>
          <w:tcPr>
            <w:tcW w:w="1194" w:type="dxa"/>
            <w:vMerge/>
            <w:shd w:val="clear" w:color="auto" w:fill="D9D9D9" w:themeFill="background1" w:themeFillShade="D9"/>
          </w:tcPr>
          <w:p w14:paraId="00941A7C" w14:textId="77777777" w:rsidR="00B5109D" w:rsidRDefault="00B5109D" w:rsidP="00B5109D">
            <w:pPr>
              <w:spacing w:after="120"/>
              <w:jc w:val="center"/>
              <w:rPr>
                <w:rFonts w:eastAsia="MS Mincho"/>
                <w:lang w:val="en-US" w:eastAsia="ja-JP"/>
              </w:rPr>
            </w:pPr>
          </w:p>
        </w:tc>
        <w:tc>
          <w:tcPr>
            <w:tcW w:w="1053" w:type="dxa"/>
            <w:vMerge/>
            <w:shd w:val="clear" w:color="auto" w:fill="D9D9D9" w:themeFill="background1" w:themeFillShade="D9"/>
          </w:tcPr>
          <w:p w14:paraId="4CC8C037" w14:textId="0256E394" w:rsidR="00B5109D" w:rsidRDefault="00B5109D" w:rsidP="00B5109D">
            <w:pPr>
              <w:spacing w:after="120"/>
              <w:jc w:val="center"/>
              <w:rPr>
                <w:rFonts w:eastAsia="MS Mincho"/>
                <w:lang w:val="en-US" w:eastAsia="ja-JP"/>
              </w:rPr>
            </w:pPr>
          </w:p>
        </w:tc>
        <w:tc>
          <w:tcPr>
            <w:tcW w:w="2660" w:type="dxa"/>
            <w:shd w:val="clear" w:color="auto" w:fill="D9D9D9" w:themeFill="background1" w:themeFillShade="D9"/>
          </w:tcPr>
          <w:p w14:paraId="4C82EE86" w14:textId="3BFEE880" w:rsidR="00B5109D" w:rsidRDefault="3E61DC49" w:rsidP="3E61DC49">
            <w:pPr>
              <w:spacing w:after="120"/>
              <w:jc w:val="both"/>
              <w:rPr>
                <w:rFonts w:eastAsia="MS Mincho"/>
                <w:lang w:val="en-US" w:eastAsia="ja-JP"/>
              </w:rPr>
            </w:pPr>
            <w:r w:rsidRPr="3E61DC49">
              <w:rPr>
                <w:rFonts w:eastAsia="MS Mincho"/>
                <w:lang w:val="en-US" w:eastAsia="ja-JP"/>
              </w:rPr>
              <w:t>Type 2 with RBG granularity</w:t>
            </w:r>
          </w:p>
        </w:tc>
        <w:tc>
          <w:tcPr>
            <w:tcW w:w="810" w:type="dxa"/>
            <w:tcBorders>
              <w:bottom w:val="single" w:sz="4" w:space="0" w:color="auto"/>
            </w:tcBorders>
          </w:tcPr>
          <w:p w14:paraId="5605693D" w14:textId="4D127C44" w:rsidR="00B5109D" w:rsidRPr="006A5474" w:rsidRDefault="10E807B4" w:rsidP="10E807B4">
            <w:pPr>
              <w:spacing w:after="120"/>
              <w:jc w:val="center"/>
              <w:rPr>
                <w:rFonts w:eastAsia="MS Mincho"/>
                <w:lang w:val="en-US" w:eastAsia="ja-JP"/>
              </w:rPr>
            </w:pPr>
            <w:r w:rsidRPr="10E807B4">
              <w:rPr>
                <w:rFonts w:eastAsia="MS Mincho"/>
                <w:lang w:val="en-US" w:eastAsia="ja-JP"/>
              </w:rPr>
              <w:t>16</w:t>
            </w:r>
          </w:p>
        </w:tc>
        <w:tc>
          <w:tcPr>
            <w:tcW w:w="810" w:type="dxa"/>
            <w:tcBorders>
              <w:bottom w:val="single" w:sz="4" w:space="0" w:color="auto"/>
            </w:tcBorders>
          </w:tcPr>
          <w:p w14:paraId="28A32BD8" w14:textId="0A049FF8" w:rsidR="00B5109D" w:rsidRPr="00EC4904" w:rsidRDefault="10E807B4" w:rsidP="10E807B4">
            <w:pPr>
              <w:spacing w:after="120"/>
              <w:jc w:val="center"/>
              <w:rPr>
                <w:rFonts w:eastAsia="MS Mincho"/>
                <w:lang w:val="en-US" w:eastAsia="ja-JP"/>
              </w:rPr>
            </w:pPr>
            <w:r w:rsidRPr="10E807B4">
              <w:rPr>
                <w:rFonts w:eastAsia="MS Mincho"/>
                <w:lang w:val="en-US" w:eastAsia="ja-JP"/>
              </w:rPr>
              <w:t>14</w:t>
            </w:r>
          </w:p>
        </w:tc>
        <w:tc>
          <w:tcPr>
            <w:tcW w:w="810" w:type="dxa"/>
            <w:tcBorders>
              <w:bottom w:val="single" w:sz="4" w:space="0" w:color="auto"/>
            </w:tcBorders>
          </w:tcPr>
          <w:p w14:paraId="16D5B96A" w14:textId="497F64D1" w:rsidR="00B5109D" w:rsidRPr="002C770F" w:rsidRDefault="10E807B4" w:rsidP="10E807B4">
            <w:pPr>
              <w:spacing w:after="120"/>
              <w:jc w:val="center"/>
              <w:rPr>
                <w:rFonts w:eastAsia="MS Mincho"/>
                <w:lang w:val="en-US" w:eastAsia="ja-JP"/>
              </w:rPr>
            </w:pPr>
            <w:r w:rsidRPr="10E807B4">
              <w:rPr>
                <w:rFonts w:eastAsia="MS Mincho"/>
                <w:lang w:val="en-US" w:eastAsia="ja-JP"/>
              </w:rPr>
              <w:t>12</w:t>
            </w:r>
          </w:p>
        </w:tc>
        <w:tc>
          <w:tcPr>
            <w:tcW w:w="720" w:type="dxa"/>
            <w:tcBorders>
              <w:bottom w:val="single" w:sz="4" w:space="0" w:color="auto"/>
            </w:tcBorders>
          </w:tcPr>
          <w:p w14:paraId="2036D6F9" w14:textId="00FA9A7D" w:rsidR="00B5109D" w:rsidRPr="00EF54D1" w:rsidRDefault="10E807B4" w:rsidP="10E807B4">
            <w:pPr>
              <w:spacing w:after="120"/>
              <w:jc w:val="center"/>
              <w:rPr>
                <w:rFonts w:eastAsia="MS Mincho"/>
                <w:lang w:val="en-US" w:eastAsia="ja-JP"/>
              </w:rPr>
            </w:pPr>
            <w:r w:rsidRPr="10E807B4">
              <w:rPr>
                <w:rFonts w:eastAsia="MS Mincho"/>
                <w:lang w:val="en-US" w:eastAsia="ja-JP"/>
              </w:rPr>
              <w:t>10</w:t>
            </w:r>
          </w:p>
        </w:tc>
        <w:tc>
          <w:tcPr>
            <w:tcW w:w="810" w:type="dxa"/>
          </w:tcPr>
          <w:p w14:paraId="72E1E286" w14:textId="77D35C6A" w:rsidR="00B5109D" w:rsidRPr="006A5474" w:rsidRDefault="10E807B4" w:rsidP="10E807B4">
            <w:pPr>
              <w:spacing w:after="120"/>
              <w:jc w:val="center"/>
              <w:rPr>
                <w:rFonts w:eastAsia="MS Mincho"/>
                <w:lang w:val="en-US" w:eastAsia="ja-JP"/>
              </w:rPr>
            </w:pPr>
            <w:r w:rsidRPr="10E807B4">
              <w:rPr>
                <w:rFonts w:eastAsia="MS Mincho"/>
                <w:lang w:val="en-US" w:eastAsia="ja-JP"/>
              </w:rPr>
              <w:t>8</w:t>
            </w:r>
          </w:p>
        </w:tc>
      </w:tr>
    </w:tbl>
    <w:p w14:paraId="43F71BFF" w14:textId="77777777" w:rsidR="00B5109D" w:rsidRDefault="00B5109D" w:rsidP="003B3C64">
      <w:pPr>
        <w:spacing w:after="120"/>
        <w:jc w:val="both"/>
        <w:rPr>
          <w:rFonts w:eastAsia="MS Mincho"/>
          <w:lang w:val="en-US" w:eastAsia="ja-JP"/>
        </w:rPr>
      </w:pPr>
    </w:p>
    <w:p w14:paraId="5746D7B2" w14:textId="156BCC5F" w:rsidR="00791DDB" w:rsidRDefault="3E61DC49" w:rsidP="3E61DC49">
      <w:pPr>
        <w:spacing w:after="120"/>
        <w:jc w:val="both"/>
        <w:rPr>
          <w:rFonts w:eastAsia="MS Mincho"/>
          <w:lang w:val="en-US" w:eastAsia="ja-JP"/>
        </w:rPr>
      </w:pPr>
      <w:r w:rsidRPr="3E61DC49">
        <w:rPr>
          <w:rFonts w:eastAsia="MS Mincho"/>
          <w:lang w:val="en-US" w:eastAsia="ja-JP"/>
        </w:rPr>
        <w:t xml:space="preserve">In typical cases, there does not seem to be a strong need to support a RBG size of more than one PRB, as the RA field size is already reasonably small with one-PRB granularity. However, if we consider the extreme cases where very compact DCI size is necessary as in URLLC, larger RBG size would be useful. Similar to DL RA type 0, it is desirable to align the DCI </w:t>
      </w:r>
      <w:r w:rsidR="003E50B9">
        <w:rPr>
          <w:rFonts w:eastAsia="MS Mincho"/>
          <w:lang w:val="en-US" w:eastAsia="ja-JP"/>
        </w:rPr>
        <w:t>RA fields</w:t>
      </w:r>
      <w:r w:rsidRPr="3E61DC49">
        <w:rPr>
          <w:rFonts w:eastAsia="MS Mincho"/>
          <w:lang w:val="en-US" w:eastAsia="ja-JP"/>
        </w:rPr>
        <w:t xml:space="preserve"> for different BWPs.</w:t>
      </w:r>
    </w:p>
    <w:p w14:paraId="60441ACA" w14:textId="10D5E24F" w:rsidR="00DB040B" w:rsidRPr="00C95609" w:rsidRDefault="00B470A7" w:rsidP="3E61DC49">
      <w:pPr>
        <w:rPr>
          <w:i/>
          <w:iCs/>
        </w:rPr>
      </w:pPr>
      <w:r w:rsidRPr="00C95609">
        <w:rPr>
          <w:b/>
          <w:bCs/>
          <w:i/>
          <w:iCs/>
        </w:rPr>
        <w:t xml:space="preserve">Proposal </w:t>
      </w:r>
      <w:r w:rsidR="00C5099B" w:rsidRPr="00C95609">
        <w:rPr>
          <w:b/>
          <w:bCs/>
          <w:i/>
          <w:iCs/>
        </w:rPr>
        <w:t>3</w:t>
      </w:r>
      <w:r w:rsidR="00DB040B" w:rsidRPr="00C95609">
        <w:rPr>
          <w:b/>
          <w:bCs/>
          <w:i/>
          <w:iCs/>
        </w:rPr>
        <w:t>:</w:t>
      </w:r>
      <w:r w:rsidR="00DB040B" w:rsidRPr="00C95609">
        <w:rPr>
          <w:i/>
          <w:iCs/>
        </w:rPr>
        <w:t xml:space="preserve"> </w:t>
      </w:r>
      <w:r w:rsidR="00BA4641" w:rsidRPr="00C95609">
        <w:rPr>
          <w:i/>
          <w:iCs/>
        </w:rPr>
        <w:t>For resource allocation based on LTE DL RA type 2, a</w:t>
      </w:r>
      <w:r w:rsidR="006904ED" w:rsidRPr="00C95609">
        <w:rPr>
          <w:i/>
          <w:iCs/>
        </w:rPr>
        <w:t xml:space="preserve"> coarse granularity of more than one PRB is supported.</w:t>
      </w:r>
      <w:r w:rsidR="00C95609" w:rsidRPr="00C95609">
        <w:rPr>
          <w:i/>
          <w:iCs/>
        </w:rPr>
        <w:t xml:space="preserve"> The RBG size on the BWP is determined</w:t>
      </w:r>
      <w:r w:rsidR="00244194">
        <w:rPr>
          <w:i/>
          <w:iCs/>
        </w:rPr>
        <w:t xml:space="preserve"> (at least for continuous allocation)</w:t>
      </w:r>
      <w:r w:rsidR="00C95609" w:rsidRPr="00C95609">
        <w:rPr>
          <w:i/>
          <w:iCs/>
        </w:rPr>
        <w:t xml:space="preserve"> </w:t>
      </w:r>
      <w:r w:rsidR="00381953">
        <w:rPr>
          <w:i/>
          <w:iCs/>
        </w:rPr>
        <w:t>according to</w:t>
      </w:r>
      <w:r w:rsidR="00C95609" w:rsidRPr="00C95609">
        <w:rPr>
          <w:i/>
          <w:iCs/>
        </w:rPr>
        <w:t xml:space="preserve"> the same principle as for LTE DL RA type 0 (see Proposal 2).</w:t>
      </w:r>
    </w:p>
    <w:p w14:paraId="42C279CD" w14:textId="5D849E9B" w:rsidR="00DF7511" w:rsidRPr="006719E0" w:rsidRDefault="10E807B4" w:rsidP="00DB040B">
      <w:r>
        <w:t>Considering the large difference in RA field size for type 0 and 2 (as shown in Table 1), and the desirable flexibility to independently configure the RBG size for type 0 and 2 (e.g.type 0 for eMBB and type 2 for URLLC), we propose:</w:t>
      </w:r>
    </w:p>
    <w:p w14:paraId="3A0CEA46" w14:textId="5A203D99" w:rsidR="006904ED" w:rsidRPr="00C95609" w:rsidRDefault="3E61DC49" w:rsidP="3E61DC49">
      <w:pPr>
        <w:rPr>
          <w:i/>
          <w:iCs/>
        </w:rPr>
      </w:pPr>
      <w:r w:rsidRPr="00C95609">
        <w:rPr>
          <w:b/>
          <w:bCs/>
          <w:i/>
          <w:iCs/>
        </w:rPr>
        <w:t xml:space="preserve">Proposal </w:t>
      </w:r>
      <w:r w:rsidR="00C95609" w:rsidRPr="00C95609">
        <w:rPr>
          <w:b/>
          <w:bCs/>
          <w:i/>
          <w:iCs/>
        </w:rPr>
        <w:t>4</w:t>
      </w:r>
      <w:r w:rsidRPr="00C95609">
        <w:rPr>
          <w:i/>
          <w:iCs/>
        </w:rPr>
        <w:t>: Different DCI formats are used for resource allocation based on LTE DL RA type 0 and type 2, i.e. a single DCI format can schedule either RA type 0 or RA type2.</w:t>
      </w:r>
    </w:p>
    <w:p w14:paraId="546A24B8" w14:textId="1C36A595" w:rsidR="00C94F73" w:rsidRDefault="3E61DC49" w:rsidP="00DB040B">
      <w:r>
        <w:t>The main advantages of type 2 RA over type 0 RA are: (1) smaller granularity (e.g. one RB); (2) more compact DCI size. When type 2 RA is used to allocate a small amount of resources, it can benefit from frequency diversity (when frequency-selective scheduling is not or cannot be used) if non-contiguous resource allocation is supported. The non-contiguous resource allocation can be based on some simple interlaced structure, and the details can be further discussed.</w:t>
      </w:r>
    </w:p>
    <w:p w14:paraId="6F34DA1A" w14:textId="6AD04EC1" w:rsidR="00CA1941" w:rsidRPr="006719E0" w:rsidRDefault="3E61DC49" w:rsidP="00DB040B">
      <w:r>
        <w:t>On the other hand, intra-slot frequency hopping is not seen as so necessary because frequency diversity can be achieved as long as 2 or more PRBs are allocated. In addition, intra-slot frequency hopping requires additional effort and would make it not well compatible with other RA schemes, which would make it difficult to be used in practice.</w:t>
      </w:r>
    </w:p>
    <w:p w14:paraId="4B9D6431" w14:textId="197940BC" w:rsidR="00C94F73" w:rsidRPr="00C95609" w:rsidRDefault="3E61DC49" w:rsidP="3E61DC49">
      <w:pPr>
        <w:rPr>
          <w:i/>
          <w:iCs/>
        </w:rPr>
      </w:pPr>
      <w:r w:rsidRPr="00C95609">
        <w:rPr>
          <w:b/>
          <w:bCs/>
          <w:i/>
          <w:iCs/>
        </w:rPr>
        <w:t xml:space="preserve">Proposal </w:t>
      </w:r>
      <w:r w:rsidR="00C95609" w:rsidRPr="00C95609">
        <w:rPr>
          <w:b/>
          <w:bCs/>
          <w:i/>
          <w:iCs/>
        </w:rPr>
        <w:t>5</w:t>
      </w:r>
      <w:r w:rsidRPr="00C95609">
        <w:rPr>
          <w:i/>
          <w:iCs/>
        </w:rPr>
        <w:t>: For resource allocation based on LTE DL RA type 2, both contiguous and non-contiguous RA are supported. Intra-slot frequency hopping is not supported. FFS the details of non-contiguous RA.</w:t>
      </w:r>
    </w:p>
    <w:p w14:paraId="21FEEB80" w14:textId="77777777" w:rsidR="00C94F73" w:rsidRDefault="00C94F73" w:rsidP="00DB040B">
      <w:pPr>
        <w:rPr>
          <w:i/>
        </w:rPr>
      </w:pPr>
    </w:p>
    <w:p w14:paraId="39ABA59B" w14:textId="2999D277" w:rsidR="009B3054" w:rsidRDefault="009B3054" w:rsidP="3E61DC49">
      <w:pPr>
        <w:pStyle w:val="Heading2"/>
        <w:rPr>
          <w:lang w:val="en-US" w:eastAsia="ja-JP"/>
        </w:rPr>
      </w:pPr>
      <w:r>
        <w:rPr>
          <w:lang w:val="en-US" w:eastAsia="ja-JP"/>
        </w:rPr>
        <w:t>2.3</w:t>
      </w:r>
      <w:r>
        <w:rPr>
          <w:lang w:val="en-US" w:eastAsia="ja-JP"/>
        </w:rPr>
        <w:tab/>
        <w:t>Resource allocation based on LTE UL RA type 0</w:t>
      </w:r>
    </w:p>
    <w:p w14:paraId="4D879C5D" w14:textId="1FF01D68" w:rsidR="00A6519F" w:rsidRDefault="3E61DC49" w:rsidP="3E61DC49">
      <w:pPr>
        <w:overflowPunct/>
        <w:autoSpaceDE/>
        <w:autoSpaceDN/>
        <w:adjustRightInd/>
        <w:spacing w:after="0"/>
        <w:textAlignment w:val="auto"/>
        <w:rPr>
          <w:lang w:val="en-US"/>
        </w:rPr>
      </w:pPr>
      <w:r w:rsidRPr="3E61DC49">
        <w:rPr>
          <w:lang w:val="en-US"/>
        </w:rPr>
        <w:t xml:space="preserve">This applies to CP-OFDM based and </w:t>
      </w:r>
      <w:r w:rsidRPr="3E61DC49">
        <w:rPr>
          <w:rFonts w:eastAsia="MS Mincho"/>
          <w:lang w:val="en-US" w:eastAsia="ja-JP"/>
        </w:rPr>
        <w:t xml:space="preserve">DFT-S-OFDM based </w:t>
      </w:r>
      <w:r w:rsidRPr="3E61DC49">
        <w:rPr>
          <w:lang w:val="en-US"/>
        </w:rPr>
        <w:t>PUSCH.</w:t>
      </w:r>
    </w:p>
    <w:p w14:paraId="50A4CB00" w14:textId="3E65AA6F" w:rsidR="00A6519F" w:rsidRDefault="00A6519F" w:rsidP="00E93CB3">
      <w:pPr>
        <w:overflowPunct/>
        <w:autoSpaceDE/>
        <w:autoSpaceDN/>
        <w:adjustRightInd/>
        <w:spacing w:after="0"/>
        <w:textAlignment w:val="auto"/>
        <w:rPr>
          <w:lang w:val="en-US" w:eastAsia="x-none"/>
        </w:rPr>
      </w:pPr>
    </w:p>
    <w:p w14:paraId="5D4842F5" w14:textId="4D8B1C54" w:rsidR="009B3054" w:rsidRDefault="10E807B4" w:rsidP="10E807B4">
      <w:pPr>
        <w:overflowPunct/>
        <w:autoSpaceDE/>
        <w:autoSpaceDN/>
        <w:adjustRightInd/>
        <w:spacing w:after="0"/>
        <w:textAlignment w:val="auto"/>
        <w:rPr>
          <w:lang w:val="en-US"/>
        </w:rPr>
      </w:pPr>
      <w:r w:rsidRPr="10E807B4">
        <w:rPr>
          <w:lang w:val="en-US"/>
        </w:rPr>
        <w:t>LTE UL RA type 0 is in fact the same as LTE DL RA type 2 with VRB of localized types, meaning that VRB is the same as PRB and only contiguous resource allocation is supported. Therefore we propose:</w:t>
      </w:r>
    </w:p>
    <w:p w14:paraId="6CCAACD6" w14:textId="77777777" w:rsidR="00AD5A99" w:rsidRDefault="00AD5A99" w:rsidP="00E93CB3">
      <w:pPr>
        <w:overflowPunct/>
        <w:autoSpaceDE/>
        <w:autoSpaceDN/>
        <w:adjustRightInd/>
        <w:spacing w:after="0"/>
        <w:textAlignment w:val="auto"/>
        <w:rPr>
          <w:lang w:val="en-US" w:eastAsia="x-none"/>
        </w:rPr>
      </w:pPr>
    </w:p>
    <w:p w14:paraId="1DDFE293" w14:textId="733CFF2F" w:rsidR="009B3054" w:rsidRPr="00C95609" w:rsidRDefault="3E61DC49" w:rsidP="3E61DC49">
      <w:pPr>
        <w:rPr>
          <w:i/>
          <w:lang w:val="en-US"/>
        </w:rPr>
      </w:pPr>
      <w:r w:rsidRPr="00C95609">
        <w:rPr>
          <w:b/>
          <w:bCs/>
          <w:i/>
          <w:iCs/>
        </w:rPr>
        <w:t xml:space="preserve">Proposal </w:t>
      </w:r>
      <w:r w:rsidR="00C95609" w:rsidRPr="00C95609">
        <w:rPr>
          <w:b/>
          <w:bCs/>
          <w:i/>
          <w:iCs/>
        </w:rPr>
        <w:t>6</w:t>
      </w:r>
      <w:r w:rsidRPr="00C95609">
        <w:rPr>
          <w:i/>
          <w:iCs/>
        </w:rPr>
        <w:t>: Resource allocation based on LTE UL RA type 0 is defined in the same way as resource allocation based on LTE DL RA type 2 with contiguous resource allocation.</w:t>
      </w:r>
    </w:p>
    <w:p w14:paraId="1E0E9006" w14:textId="77777777" w:rsidR="00E93CB3" w:rsidRDefault="10E807B4" w:rsidP="10E807B4">
      <w:pPr>
        <w:rPr>
          <w:rFonts w:eastAsia="MS Mincho"/>
          <w:lang w:val="en-US" w:eastAsia="ja-JP"/>
        </w:rPr>
      </w:pPr>
      <w:r w:rsidRPr="10E807B4">
        <w:rPr>
          <w:rFonts w:eastAsia="MS Mincho"/>
          <w:lang w:val="en-US" w:eastAsia="ja-JP"/>
        </w:rPr>
        <w:t xml:space="preserve">The motivation behind introduction of DFT-S-OFDM as a complementary waveform in the new radio UL is to provide at least the same link budget (i.e. MCL) as LTE UL. Based on that, it’s enough to have semi-static configuration of the PUSCH waveform. This means that PUSCH waveform is configured using higher layer signalling and DFT-S-OFDM does not introduce any additional bits in DCI scheduling PUSCH. </w:t>
      </w:r>
    </w:p>
    <w:p w14:paraId="2FB7E709" w14:textId="77777777" w:rsidR="00E93CB3" w:rsidRDefault="10E807B4" w:rsidP="10E807B4">
      <w:pPr>
        <w:rPr>
          <w:rFonts w:eastAsia="MS Mincho"/>
          <w:lang w:val="en-US" w:eastAsia="ja-JP"/>
        </w:rPr>
      </w:pPr>
      <w:r w:rsidRPr="10E807B4">
        <w:rPr>
          <w:rFonts w:eastAsia="MS Mincho"/>
          <w:lang w:val="en-US" w:eastAsia="ja-JP"/>
        </w:rPr>
        <w:t>It has been decided in RAN1#88bis that “</w:t>
      </w:r>
      <w:r w:rsidRPr="10E807B4">
        <w:rPr>
          <w:rFonts w:eastAsia="MS Mincho"/>
          <w:i/>
          <w:iCs/>
          <w:lang w:val="en-US" w:eastAsia="ja-JP"/>
        </w:rPr>
        <w:t>Similar to LTE, the number of RBs allowable for DFT-s-OFDM waveform should be N = 2</w:t>
      </w:r>
      <w:r w:rsidRPr="10E807B4">
        <w:rPr>
          <w:rFonts w:eastAsia="MS Mincho"/>
          <w:i/>
          <w:iCs/>
          <w:vertAlign w:val="superscript"/>
          <w:lang w:val="en-US" w:eastAsia="ja-JP"/>
        </w:rPr>
        <w:t>i</w:t>
      </w:r>
      <w:r w:rsidRPr="10E807B4">
        <w:rPr>
          <w:rFonts w:eastAsia="MS Mincho"/>
          <w:i/>
          <w:iCs/>
          <w:lang w:val="en-US" w:eastAsia="ja-JP"/>
        </w:rPr>
        <w:t>3</w:t>
      </w:r>
      <w:r w:rsidRPr="10E807B4">
        <w:rPr>
          <w:rFonts w:eastAsia="MS Mincho"/>
          <w:i/>
          <w:iCs/>
          <w:vertAlign w:val="superscript"/>
          <w:lang w:val="en-US" w:eastAsia="ja-JP"/>
        </w:rPr>
        <w:t>j</w:t>
      </w:r>
      <w:r w:rsidRPr="10E807B4">
        <w:rPr>
          <w:rFonts w:eastAsia="MS Mincho"/>
          <w:i/>
          <w:iCs/>
          <w:lang w:val="en-US" w:eastAsia="ja-JP"/>
        </w:rPr>
        <w:t>5</w:t>
      </w:r>
      <w:r w:rsidRPr="10E807B4">
        <w:rPr>
          <w:rFonts w:eastAsia="MS Mincho"/>
          <w:i/>
          <w:iCs/>
          <w:vertAlign w:val="superscript"/>
          <w:lang w:val="en-US" w:eastAsia="ja-JP"/>
        </w:rPr>
        <w:t>k</w:t>
      </w:r>
      <w:r w:rsidRPr="10E807B4">
        <w:rPr>
          <w:rFonts w:eastAsia="MS Mincho"/>
          <w:i/>
          <w:iCs/>
          <w:lang w:val="en-US" w:eastAsia="ja-JP"/>
        </w:rPr>
        <w:t>”</w:t>
      </w:r>
      <w:r w:rsidRPr="10E807B4">
        <w:rPr>
          <w:rFonts w:eastAsia="MS Mincho"/>
          <w:i/>
          <w:iCs/>
          <w:sz w:val="18"/>
          <w:szCs w:val="18"/>
          <w:lang w:val="en-US" w:eastAsia="ja-JP"/>
        </w:rPr>
        <w:t xml:space="preserve">. </w:t>
      </w:r>
      <w:r w:rsidRPr="10E807B4">
        <w:rPr>
          <w:rFonts w:eastAsia="MS Mincho"/>
          <w:lang w:val="en-US" w:eastAsia="ja-JP"/>
        </w:rPr>
        <w:t xml:space="preserve">When using CP-OFDM waveform, such limit does not exist. The simplest option would be to have a common solution for contiguous resource allocation covering both PDSCH and PUSCH. When DFT-S-OFDM is configured, only those PUSCH allocations fulfilling the rule related to DFT size are as considered as valid resource callocations for an UE.  </w:t>
      </w:r>
    </w:p>
    <w:p w14:paraId="3D27083B" w14:textId="07CBEC8D" w:rsidR="00E93CB3" w:rsidRPr="00C95609" w:rsidRDefault="10E807B4" w:rsidP="10E807B4">
      <w:pPr>
        <w:rPr>
          <w:rFonts w:eastAsia="MS Mincho"/>
          <w:i/>
          <w:iCs/>
          <w:lang w:val="en-US" w:eastAsia="ja-JP"/>
        </w:rPr>
      </w:pPr>
      <w:r w:rsidRPr="00C95609">
        <w:rPr>
          <w:rFonts w:eastAsia="MS Mincho"/>
          <w:b/>
          <w:bCs/>
          <w:i/>
          <w:iCs/>
          <w:lang w:val="en-US" w:eastAsia="ja-JP"/>
        </w:rPr>
        <w:t xml:space="preserve">Proposal </w:t>
      </w:r>
      <w:r w:rsidR="00C95609" w:rsidRPr="00C95609">
        <w:rPr>
          <w:rFonts w:eastAsia="MS Mincho"/>
          <w:b/>
          <w:bCs/>
          <w:i/>
          <w:iCs/>
          <w:lang w:val="en-US" w:eastAsia="ja-JP"/>
        </w:rPr>
        <w:t>7</w:t>
      </w:r>
      <w:r w:rsidRPr="00C95609">
        <w:rPr>
          <w:rFonts w:eastAsia="MS Mincho"/>
          <w:b/>
          <w:bCs/>
          <w:i/>
          <w:iCs/>
          <w:lang w:val="en-US" w:eastAsia="ja-JP"/>
        </w:rPr>
        <w:t xml:space="preserve">: </w:t>
      </w:r>
      <w:r w:rsidRPr="00C95609">
        <w:rPr>
          <w:rFonts w:eastAsia="MS Mincho"/>
          <w:i/>
          <w:iCs/>
          <w:lang w:val="en-US" w:eastAsia="ja-JP"/>
        </w:rPr>
        <w:t>PUSCH waveform is configured using higher layer signalling. DFT-S-OFDM does not introduce any additional bits in DCI scheduling PUSCH, and the DCI format for resource allocation based on LTE UL RA type 0 is the same for DFT-S-OFDM and CP-OFDM based PUSCH.</w:t>
      </w:r>
    </w:p>
    <w:p w14:paraId="4550CBAA" w14:textId="77777777" w:rsidR="009B3054" w:rsidRDefault="009B3054" w:rsidP="3E61DC49">
      <w:pPr>
        <w:pStyle w:val="Heading2"/>
        <w:rPr>
          <w:lang w:val="en-US" w:eastAsia="ja-JP"/>
        </w:rPr>
      </w:pPr>
      <w:r>
        <w:rPr>
          <w:lang w:val="en-US" w:eastAsia="ja-JP"/>
        </w:rPr>
        <w:lastRenderedPageBreak/>
        <w:t>2.4</w:t>
      </w:r>
      <w:r>
        <w:rPr>
          <w:lang w:val="en-US" w:eastAsia="ja-JP"/>
        </w:rPr>
        <w:tab/>
        <w:t>PRB indexing</w:t>
      </w:r>
    </w:p>
    <w:p w14:paraId="4EA27B60" w14:textId="77777777" w:rsidR="0063530F" w:rsidRDefault="3E61DC49" w:rsidP="3E61DC49">
      <w:pPr>
        <w:spacing w:after="120"/>
        <w:jc w:val="both"/>
        <w:rPr>
          <w:rFonts w:eastAsia="MS Mincho"/>
          <w:lang w:val="en-US" w:eastAsia="ja-JP"/>
        </w:rPr>
      </w:pPr>
      <w:r w:rsidRPr="3E61DC49">
        <w:rPr>
          <w:rFonts w:eastAsia="MS Mincho"/>
          <w:lang w:val="en-US" w:eastAsia="ja-JP"/>
        </w:rPr>
        <w:t xml:space="preserve">It has been agreed to support both common PRB indexing and UE-specific PRB indexing. </w:t>
      </w:r>
    </w:p>
    <w:p w14:paraId="59A82E10" w14:textId="77777777" w:rsidR="0063530F" w:rsidRPr="00A6519F" w:rsidRDefault="3E61DC49" w:rsidP="3E61DC49">
      <w:pPr>
        <w:spacing w:after="0"/>
        <w:ind w:left="568"/>
        <w:rPr>
          <w:rFonts w:eastAsia="MS Mincho"/>
          <w:b/>
          <w:bCs/>
          <w:i/>
          <w:iCs/>
          <w:sz w:val="18"/>
          <w:szCs w:val="18"/>
          <w:u w:val="single"/>
          <w:lang w:val="en-US" w:eastAsia="ja-JP"/>
        </w:rPr>
      </w:pPr>
      <w:r w:rsidRPr="3E61DC49">
        <w:rPr>
          <w:rFonts w:eastAsia="MS Mincho"/>
          <w:b/>
          <w:bCs/>
          <w:i/>
          <w:iCs/>
          <w:sz w:val="18"/>
          <w:szCs w:val="18"/>
          <w:highlight w:val="green"/>
          <w:u w:val="single"/>
          <w:lang w:val="en-US" w:eastAsia="ja-JP"/>
        </w:rPr>
        <w:t>Agreements:</w:t>
      </w:r>
      <w:r w:rsidRPr="3E61DC49">
        <w:rPr>
          <w:rFonts w:ascii="Times" w:eastAsia="MS Mincho" w:hAnsi="Times"/>
          <w:i/>
          <w:iCs/>
          <w:sz w:val="18"/>
          <w:szCs w:val="18"/>
          <w:lang w:val="en-US" w:eastAsia="ja-JP"/>
        </w:rPr>
        <w:t xml:space="preserve"> (RAN1-AH#2)</w:t>
      </w:r>
    </w:p>
    <w:p w14:paraId="23FC077D" w14:textId="77777777" w:rsidR="0063530F" w:rsidRPr="00A6519F" w:rsidRDefault="3E61DC49" w:rsidP="3E61DC49">
      <w:pPr>
        <w:numPr>
          <w:ilvl w:val="0"/>
          <w:numId w:val="31"/>
        </w:numPr>
        <w:tabs>
          <w:tab w:val="clear" w:pos="720"/>
          <w:tab w:val="left" w:pos="20"/>
          <w:tab w:val="num" w:pos="1288"/>
        </w:tabs>
        <w:overflowPunct/>
        <w:autoSpaceDE/>
        <w:autoSpaceDN/>
        <w:adjustRightInd/>
        <w:spacing w:after="0"/>
        <w:ind w:left="1288"/>
        <w:textAlignment w:val="auto"/>
        <w:rPr>
          <w:rFonts w:eastAsia="MS Mincho"/>
          <w:i/>
          <w:iCs/>
          <w:sz w:val="18"/>
          <w:szCs w:val="18"/>
          <w:lang w:val="en-US" w:eastAsia="ja-JP"/>
        </w:rPr>
      </w:pPr>
      <w:r w:rsidRPr="3E61DC49">
        <w:rPr>
          <w:rFonts w:eastAsia="MS Mincho"/>
          <w:i/>
          <w:iCs/>
          <w:sz w:val="18"/>
          <w:szCs w:val="18"/>
          <w:lang w:val="en-US" w:eastAsia="ja-JP"/>
        </w:rPr>
        <w:t>Common PRB indexing is supported</w:t>
      </w:r>
    </w:p>
    <w:p w14:paraId="16B7FA90" w14:textId="77777777" w:rsidR="0063530F" w:rsidRPr="00A6519F" w:rsidRDefault="3E61DC49" w:rsidP="3E61DC49">
      <w:pPr>
        <w:numPr>
          <w:ilvl w:val="1"/>
          <w:numId w:val="31"/>
        </w:numPr>
        <w:tabs>
          <w:tab w:val="clear" w:pos="1440"/>
          <w:tab w:val="left" w:pos="20"/>
          <w:tab w:val="num" w:pos="1724"/>
        </w:tabs>
        <w:overflowPunct/>
        <w:autoSpaceDE/>
        <w:autoSpaceDN/>
        <w:adjustRightInd/>
        <w:spacing w:after="0"/>
        <w:ind w:left="2008"/>
        <w:textAlignment w:val="auto"/>
        <w:rPr>
          <w:rFonts w:eastAsia="MS Mincho"/>
          <w:i/>
          <w:iCs/>
          <w:sz w:val="18"/>
          <w:szCs w:val="18"/>
          <w:lang w:val="en-US" w:eastAsia="ja-JP"/>
        </w:rPr>
      </w:pPr>
      <w:r w:rsidRPr="3E61DC49">
        <w:rPr>
          <w:rFonts w:eastAsia="MS Mincho"/>
          <w:i/>
          <w:iCs/>
          <w:sz w:val="18"/>
          <w:szCs w:val="18"/>
          <w:lang w:val="en-US" w:eastAsia="ja-JP"/>
        </w:rPr>
        <w:t xml:space="preserve">The indexing is common to all the UEs sharing a wideband CC from network perspective, regardless of whether they are NB, CA, or WB UEs. </w:t>
      </w:r>
    </w:p>
    <w:p w14:paraId="2B1429F9" w14:textId="77777777" w:rsidR="0063530F" w:rsidRPr="00A6519F" w:rsidRDefault="3E61DC49" w:rsidP="3E61DC49">
      <w:pPr>
        <w:numPr>
          <w:ilvl w:val="1"/>
          <w:numId w:val="31"/>
        </w:numPr>
        <w:tabs>
          <w:tab w:val="clear" w:pos="1440"/>
          <w:tab w:val="left" w:pos="20"/>
          <w:tab w:val="num" w:pos="1724"/>
        </w:tabs>
        <w:overflowPunct/>
        <w:autoSpaceDE/>
        <w:autoSpaceDN/>
        <w:adjustRightInd/>
        <w:spacing w:after="0"/>
        <w:ind w:left="2008"/>
        <w:textAlignment w:val="auto"/>
        <w:rPr>
          <w:rFonts w:eastAsia="MS Mincho"/>
          <w:i/>
          <w:iCs/>
          <w:sz w:val="18"/>
          <w:szCs w:val="18"/>
          <w:lang w:val="en-US" w:eastAsia="ja-JP"/>
        </w:rPr>
      </w:pPr>
      <w:r w:rsidRPr="3E61DC49">
        <w:rPr>
          <w:rFonts w:eastAsia="MS Mincho"/>
          <w:i/>
          <w:iCs/>
          <w:sz w:val="18"/>
          <w:szCs w:val="18"/>
          <w:lang w:val="en-US" w:eastAsia="ja-JP"/>
        </w:rPr>
        <w:t>The indexing is with respect to the reference point</w:t>
      </w:r>
    </w:p>
    <w:p w14:paraId="3F9B101F" w14:textId="77777777" w:rsidR="0063530F" w:rsidRPr="00A6519F" w:rsidRDefault="3E61DC49" w:rsidP="3E61DC49">
      <w:pPr>
        <w:numPr>
          <w:ilvl w:val="1"/>
          <w:numId w:val="31"/>
        </w:numPr>
        <w:tabs>
          <w:tab w:val="clear" w:pos="1440"/>
          <w:tab w:val="left" w:pos="20"/>
          <w:tab w:val="num" w:pos="1724"/>
        </w:tabs>
        <w:overflowPunct/>
        <w:autoSpaceDE/>
        <w:autoSpaceDN/>
        <w:adjustRightInd/>
        <w:spacing w:after="0"/>
        <w:ind w:left="2008"/>
        <w:textAlignment w:val="auto"/>
        <w:rPr>
          <w:rFonts w:eastAsia="MS Mincho"/>
          <w:i/>
          <w:iCs/>
          <w:sz w:val="18"/>
          <w:szCs w:val="18"/>
          <w:lang w:val="en-US" w:eastAsia="ja-JP"/>
        </w:rPr>
      </w:pPr>
      <w:r w:rsidRPr="3E61DC49">
        <w:rPr>
          <w:rFonts w:eastAsia="MS Mincho"/>
          <w:i/>
          <w:iCs/>
          <w:sz w:val="18"/>
          <w:szCs w:val="18"/>
          <w:lang w:val="en-US" w:eastAsia="ja-JP"/>
        </w:rPr>
        <w:t>The indexing is with respect to a given numerology</w:t>
      </w:r>
    </w:p>
    <w:p w14:paraId="3AC646DC" w14:textId="77777777" w:rsidR="0063530F" w:rsidRPr="00A6519F" w:rsidRDefault="3E61DC49" w:rsidP="3E61DC49">
      <w:pPr>
        <w:numPr>
          <w:ilvl w:val="1"/>
          <w:numId w:val="31"/>
        </w:numPr>
        <w:tabs>
          <w:tab w:val="clear" w:pos="1440"/>
          <w:tab w:val="left" w:pos="20"/>
          <w:tab w:val="num" w:pos="1724"/>
        </w:tabs>
        <w:overflowPunct/>
        <w:autoSpaceDE/>
        <w:autoSpaceDN/>
        <w:adjustRightInd/>
        <w:spacing w:after="0"/>
        <w:ind w:left="2008"/>
        <w:textAlignment w:val="auto"/>
        <w:rPr>
          <w:rFonts w:eastAsia="MS Mincho"/>
          <w:i/>
          <w:iCs/>
          <w:sz w:val="18"/>
          <w:szCs w:val="18"/>
          <w:lang w:val="en-US" w:eastAsia="ja-JP"/>
        </w:rPr>
      </w:pPr>
      <w:r w:rsidRPr="3E61DC49">
        <w:rPr>
          <w:rFonts w:eastAsia="MS Mincho"/>
          <w:i/>
          <w:iCs/>
          <w:sz w:val="18"/>
          <w:szCs w:val="18"/>
          <w:lang w:val="en-US" w:eastAsia="ja-JP"/>
        </w:rPr>
        <w:t>Note: Example usage of common PRB indexing is for scheduling group common PDSCH, RS sequences, BWP configuration, etc.</w:t>
      </w:r>
    </w:p>
    <w:p w14:paraId="63993857" w14:textId="77777777" w:rsidR="0063530F" w:rsidRPr="00A6519F" w:rsidRDefault="3E61DC49" w:rsidP="3E61DC49">
      <w:pPr>
        <w:numPr>
          <w:ilvl w:val="0"/>
          <w:numId w:val="31"/>
        </w:numPr>
        <w:tabs>
          <w:tab w:val="clear" w:pos="720"/>
          <w:tab w:val="left" w:pos="20"/>
          <w:tab w:val="num" w:pos="1288"/>
        </w:tabs>
        <w:overflowPunct/>
        <w:autoSpaceDE/>
        <w:autoSpaceDN/>
        <w:adjustRightInd/>
        <w:spacing w:after="0"/>
        <w:ind w:left="1288"/>
        <w:textAlignment w:val="auto"/>
        <w:rPr>
          <w:rFonts w:eastAsia="MS Mincho"/>
          <w:i/>
          <w:iCs/>
          <w:sz w:val="18"/>
          <w:szCs w:val="18"/>
          <w:lang w:val="en-US" w:eastAsia="ja-JP"/>
        </w:rPr>
      </w:pPr>
      <w:r w:rsidRPr="3E61DC49">
        <w:rPr>
          <w:rFonts w:eastAsia="MS Mincho"/>
          <w:i/>
          <w:iCs/>
          <w:sz w:val="18"/>
          <w:szCs w:val="18"/>
          <w:lang w:val="en-US" w:eastAsia="ja-JP"/>
        </w:rPr>
        <w:t>UE-specific PRB indexing is supported</w:t>
      </w:r>
    </w:p>
    <w:p w14:paraId="08135A52" w14:textId="77777777" w:rsidR="0063530F" w:rsidRPr="00A6519F" w:rsidRDefault="3E61DC49" w:rsidP="3E61DC49">
      <w:pPr>
        <w:numPr>
          <w:ilvl w:val="1"/>
          <w:numId w:val="31"/>
        </w:numPr>
        <w:tabs>
          <w:tab w:val="clear" w:pos="1440"/>
          <w:tab w:val="left" w:pos="20"/>
          <w:tab w:val="num" w:pos="1724"/>
        </w:tabs>
        <w:overflowPunct/>
        <w:autoSpaceDE/>
        <w:autoSpaceDN/>
        <w:adjustRightInd/>
        <w:spacing w:after="0"/>
        <w:ind w:left="2008"/>
        <w:textAlignment w:val="auto"/>
        <w:rPr>
          <w:rFonts w:eastAsia="MS Mincho"/>
          <w:i/>
          <w:iCs/>
          <w:sz w:val="18"/>
          <w:szCs w:val="18"/>
          <w:lang w:val="en-US" w:eastAsia="ja-JP"/>
        </w:rPr>
      </w:pPr>
      <w:r w:rsidRPr="3E61DC49">
        <w:rPr>
          <w:rFonts w:eastAsia="MS Mincho"/>
          <w:i/>
          <w:iCs/>
          <w:sz w:val="18"/>
          <w:szCs w:val="18"/>
          <w:lang w:val="en-US" w:eastAsia="ja-JP"/>
        </w:rPr>
        <w:t>It is indexed per BWP with respect to the configured SCS for the BWP</w:t>
      </w:r>
    </w:p>
    <w:p w14:paraId="697CA0CD" w14:textId="77777777" w:rsidR="0063530F" w:rsidRPr="00A6519F" w:rsidRDefault="3E61DC49" w:rsidP="3E61DC49">
      <w:pPr>
        <w:numPr>
          <w:ilvl w:val="1"/>
          <w:numId w:val="31"/>
        </w:numPr>
        <w:tabs>
          <w:tab w:val="clear" w:pos="1440"/>
          <w:tab w:val="left" w:pos="20"/>
          <w:tab w:val="num" w:pos="1724"/>
        </w:tabs>
        <w:overflowPunct/>
        <w:autoSpaceDE/>
        <w:autoSpaceDN/>
        <w:adjustRightInd/>
        <w:spacing w:after="0"/>
        <w:ind w:left="2008"/>
        <w:textAlignment w:val="auto"/>
        <w:rPr>
          <w:rFonts w:eastAsia="MS Mincho"/>
          <w:sz w:val="18"/>
          <w:szCs w:val="18"/>
          <w:lang w:val="en-US" w:eastAsia="ja-JP"/>
        </w:rPr>
      </w:pPr>
      <w:r w:rsidRPr="3E61DC49">
        <w:rPr>
          <w:rFonts w:eastAsia="MS Mincho"/>
          <w:i/>
          <w:iCs/>
          <w:sz w:val="18"/>
          <w:szCs w:val="18"/>
          <w:lang w:val="en-US" w:eastAsia="ja-JP"/>
        </w:rPr>
        <w:t>Note: Example usage of UE-specific indexing is for scheduling UE-specific PDSCH</w:t>
      </w:r>
    </w:p>
    <w:p w14:paraId="6D31CE55" w14:textId="77777777" w:rsidR="0063530F" w:rsidRPr="00E67802" w:rsidRDefault="0063530F" w:rsidP="0063530F">
      <w:pPr>
        <w:spacing w:after="120"/>
        <w:jc w:val="both"/>
        <w:rPr>
          <w:lang w:val="en-US"/>
        </w:rPr>
      </w:pPr>
    </w:p>
    <w:p w14:paraId="51DD63B8" w14:textId="3278DC92" w:rsidR="00D4662F" w:rsidRDefault="10E807B4" w:rsidP="10E807B4">
      <w:pPr>
        <w:spacing w:after="120"/>
        <w:jc w:val="both"/>
        <w:rPr>
          <w:rFonts w:eastAsia="MS Mincho"/>
          <w:lang w:val="en-US" w:eastAsia="ja-JP"/>
        </w:rPr>
      </w:pPr>
      <w:r w:rsidRPr="10E807B4">
        <w:rPr>
          <w:rFonts w:eastAsia="MS Mincho"/>
          <w:lang w:val="en-US" w:eastAsia="ja-JP"/>
        </w:rPr>
        <w:t>Here we only consider the PRB indexing for resource allocation after the initial access procedure is completed (i.e. after Msg 4), one or more BWPs have been configured, and one BWP is activated. The PRB indexing in resource allocation before this is separately discussed under the initial access agenda item.</w:t>
      </w:r>
    </w:p>
    <w:p w14:paraId="5F00E24D" w14:textId="54008AC7" w:rsidR="006F418C" w:rsidRDefault="3E61DC49" w:rsidP="3E61DC49">
      <w:pPr>
        <w:spacing w:after="120"/>
        <w:jc w:val="both"/>
        <w:rPr>
          <w:rFonts w:eastAsia="MS Mincho"/>
          <w:lang w:val="en-US" w:eastAsia="ja-JP"/>
        </w:rPr>
      </w:pPr>
      <w:r w:rsidRPr="3E61DC49">
        <w:rPr>
          <w:rFonts w:eastAsia="MS Mincho"/>
          <w:lang w:val="en-US" w:eastAsia="ja-JP"/>
        </w:rPr>
        <w:t xml:space="preserve">For resource allocation purpose within a BWP, it is natural that the UE-specific PRB indexing should be used, i.e., it is indexed within the BWP with respect to the configured SCS. </w:t>
      </w:r>
    </w:p>
    <w:p w14:paraId="2150D125" w14:textId="694DA217" w:rsidR="006F418C" w:rsidRPr="00C95609" w:rsidRDefault="3E61DC49" w:rsidP="3E61DC49">
      <w:pPr>
        <w:rPr>
          <w:i/>
          <w:iCs/>
          <w:lang w:val="en-US"/>
        </w:rPr>
      </w:pPr>
      <w:r w:rsidRPr="00C95609">
        <w:rPr>
          <w:b/>
          <w:bCs/>
          <w:i/>
          <w:iCs/>
          <w:lang w:val="en-US"/>
        </w:rPr>
        <w:t xml:space="preserve">Proposal </w:t>
      </w:r>
      <w:r w:rsidR="00C95609" w:rsidRPr="00C95609">
        <w:rPr>
          <w:b/>
          <w:bCs/>
          <w:i/>
          <w:iCs/>
          <w:lang w:val="en-US"/>
        </w:rPr>
        <w:t>8</w:t>
      </w:r>
      <w:r w:rsidRPr="00C95609">
        <w:rPr>
          <w:i/>
          <w:iCs/>
          <w:lang w:val="en-US"/>
        </w:rPr>
        <w:t>: For frequency-domain resource allocation in a BWP, UE-specific PRB indexing is used. That is, i</w:t>
      </w:r>
      <w:r w:rsidRPr="00C95609">
        <w:rPr>
          <w:rFonts w:eastAsia="MS Mincho"/>
          <w:i/>
          <w:iCs/>
          <w:lang w:val="en-US" w:eastAsia="ja-JP"/>
        </w:rPr>
        <w:t>t is indexed within the BWP with respect to the configured SCS for the BWP</w:t>
      </w:r>
      <w:r w:rsidRPr="00C95609">
        <w:rPr>
          <w:i/>
          <w:iCs/>
          <w:lang w:val="en-US"/>
        </w:rPr>
        <w:t>.</w:t>
      </w:r>
    </w:p>
    <w:p w14:paraId="7CC2C3E8" w14:textId="1D7D6688" w:rsidR="00EC4904" w:rsidRDefault="00DA18A2" w:rsidP="3E61DC49">
      <w:pPr>
        <w:spacing w:after="120"/>
        <w:jc w:val="both"/>
        <w:rPr>
          <w:rFonts w:eastAsia="MS Mincho"/>
          <w:lang w:val="en-US" w:eastAsia="ja-JP"/>
        </w:rPr>
      </w:pPr>
      <w:r>
        <w:rPr>
          <w:rFonts w:eastAsia="MS Mincho"/>
          <w:lang w:val="en-US" w:eastAsia="ja-JP"/>
        </w:rPr>
        <w:t>The</w:t>
      </w:r>
      <w:r w:rsidR="00EC4904">
        <w:rPr>
          <w:rFonts w:eastAsia="MS Mincho"/>
          <w:lang w:val="en-US" w:eastAsia="ja-JP"/>
        </w:rPr>
        <w:t xml:space="preserve"> </w:t>
      </w:r>
      <w:r w:rsidR="00C5099B">
        <w:rPr>
          <w:rFonts w:eastAsia="MS Mincho"/>
          <w:lang w:val="en-US" w:eastAsia="ja-JP"/>
        </w:rPr>
        <w:t xml:space="preserve">remaining aspect of </w:t>
      </w:r>
      <w:r>
        <w:rPr>
          <w:rFonts w:eastAsia="MS Mincho"/>
          <w:lang w:val="en-US" w:eastAsia="ja-JP"/>
        </w:rPr>
        <w:t xml:space="preserve">configuration of the </w:t>
      </w:r>
      <w:r w:rsidR="00EC4904">
        <w:rPr>
          <w:rFonts w:eastAsia="MS Mincho"/>
          <w:lang w:val="en-US" w:eastAsia="ja-JP"/>
        </w:rPr>
        <w:t xml:space="preserve">reference point </w:t>
      </w:r>
      <w:r w:rsidR="00C5099B">
        <w:rPr>
          <w:rFonts w:eastAsia="MS Mincho"/>
          <w:lang w:val="en-US" w:eastAsia="ja-JP"/>
        </w:rPr>
        <w:t xml:space="preserve">for common indexing can be found in </w:t>
      </w:r>
      <w:r w:rsidRPr="3E61DC49">
        <w:fldChar w:fldCharType="begin"/>
      </w:r>
      <w:r>
        <w:rPr>
          <w:rFonts w:eastAsia="MS Mincho"/>
          <w:lang w:val="en-US" w:eastAsia="ja-JP"/>
        </w:rPr>
        <w:instrText xml:space="preserve"> REF _Ref492459514 \r \h </w:instrText>
      </w:r>
      <w:r w:rsidRPr="3E61DC49">
        <w:rPr>
          <w:rFonts w:eastAsia="MS Mincho"/>
          <w:lang w:val="en-US" w:eastAsia="ja-JP"/>
        </w:rPr>
        <w:fldChar w:fldCharType="separate"/>
      </w:r>
      <w:r>
        <w:rPr>
          <w:rFonts w:eastAsia="MS Mincho"/>
          <w:lang w:val="en-US" w:eastAsia="ja-JP"/>
        </w:rPr>
        <w:t>[2]</w:t>
      </w:r>
      <w:r w:rsidRPr="3E61DC49">
        <w:fldChar w:fldCharType="end"/>
      </w:r>
      <w:r>
        <w:rPr>
          <w:rFonts w:eastAsia="MS Mincho"/>
          <w:lang w:val="en-US" w:eastAsia="ja-JP"/>
        </w:rPr>
        <w:t>.</w:t>
      </w:r>
    </w:p>
    <w:p w14:paraId="4467662A" w14:textId="77777777" w:rsidR="000717FB" w:rsidRDefault="000717FB" w:rsidP="3E61DC49">
      <w:pPr>
        <w:spacing w:after="120"/>
        <w:jc w:val="both"/>
        <w:rPr>
          <w:rFonts w:eastAsia="MS Mincho"/>
          <w:lang w:val="en-US" w:eastAsia="ja-JP"/>
        </w:rPr>
      </w:pPr>
    </w:p>
    <w:p w14:paraId="6573F9B9" w14:textId="77777777" w:rsidR="00FB22D7" w:rsidRDefault="00FB22D7" w:rsidP="00FB22D7">
      <w:pPr>
        <w:pStyle w:val="Heading1"/>
      </w:pPr>
      <w:bookmarkStart w:id="1" w:name="OLE_LINK16"/>
      <w:bookmarkStart w:id="2" w:name="OLE_LINK15"/>
      <w:r>
        <w:t>3</w:t>
      </w:r>
      <w:r>
        <w:tab/>
        <w:t>Minimum and maximum scheduling interval</w:t>
      </w:r>
    </w:p>
    <w:p w14:paraId="2D4029C4" w14:textId="77731C40" w:rsidR="00FB22D7" w:rsidRDefault="3E61DC49" w:rsidP="3E61DC49">
      <w:pPr>
        <w:spacing w:before="100" w:beforeAutospacing="1" w:after="120"/>
        <w:jc w:val="both"/>
        <w:rPr>
          <w:rFonts w:eastAsiaTheme="minorEastAsia"/>
        </w:rPr>
      </w:pPr>
      <w:r>
        <w:t xml:space="preserve">As the symbol duration and thus the slot duration scales down when the sub-carrier spacing scales up, it is worth taking a new look at the time-domain scheduling and DL/UL switching intervals. Based on the most recent LS received from RAN4 [3] NR supports the following subcarrier spacing (SCS): </w:t>
      </w:r>
    </w:p>
    <w:p w14:paraId="118F0BD6" w14:textId="77777777" w:rsidR="00FB22D7" w:rsidRPr="00A75A52" w:rsidRDefault="3E61DC49" w:rsidP="3E61DC49">
      <w:pPr>
        <w:numPr>
          <w:ilvl w:val="0"/>
          <w:numId w:val="33"/>
        </w:numPr>
        <w:tabs>
          <w:tab w:val="clear" w:pos="720"/>
          <w:tab w:val="num" w:pos="1004"/>
        </w:tabs>
        <w:overflowPunct/>
        <w:autoSpaceDE/>
        <w:autoSpaceDN/>
        <w:adjustRightInd/>
        <w:spacing w:after="0"/>
        <w:ind w:left="1004"/>
        <w:textAlignment w:val="auto"/>
        <w:rPr>
          <w:color w:val="44546A" w:themeColor="text2"/>
        </w:rPr>
      </w:pPr>
      <w:r w:rsidRPr="00A75A52">
        <w:rPr>
          <w:color w:val="44546A" w:themeColor="text2"/>
        </w:rPr>
        <w:t>SCS supported for bands below 1 GHz</w:t>
      </w:r>
    </w:p>
    <w:p w14:paraId="37C5DD18" w14:textId="77777777" w:rsidR="00FB22D7" w:rsidRPr="00A75A52" w:rsidRDefault="3E61DC49" w:rsidP="3E61DC49">
      <w:pPr>
        <w:numPr>
          <w:ilvl w:val="1"/>
          <w:numId w:val="33"/>
        </w:numPr>
        <w:tabs>
          <w:tab w:val="clear" w:pos="1440"/>
          <w:tab w:val="num" w:pos="1724"/>
        </w:tabs>
        <w:overflowPunct/>
        <w:autoSpaceDE/>
        <w:autoSpaceDN/>
        <w:adjustRightInd/>
        <w:spacing w:after="0"/>
        <w:ind w:left="1724"/>
        <w:textAlignment w:val="auto"/>
        <w:rPr>
          <w:color w:val="44546A" w:themeColor="text2"/>
        </w:rPr>
      </w:pPr>
      <w:r w:rsidRPr="00A75A52">
        <w:rPr>
          <w:color w:val="44546A" w:themeColor="text2"/>
        </w:rPr>
        <w:t>15kHz, 30kHz</w:t>
      </w:r>
    </w:p>
    <w:p w14:paraId="3CBFBF14" w14:textId="77777777" w:rsidR="00FB22D7" w:rsidRPr="00A75A52" w:rsidRDefault="3E61DC49" w:rsidP="3E61DC49">
      <w:pPr>
        <w:numPr>
          <w:ilvl w:val="1"/>
          <w:numId w:val="33"/>
        </w:numPr>
        <w:tabs>
          <w:tab w:val="clear" w:pos="1440"/>
          <w:tab w:val="num" w:pos="1724"/>
        </w:tabs>
        <w:overflowPunct/>
        <w:autoSpaceDE/>
        <w:autoSpaceDN/>
        <w:adjustRightInd/>
        <w:spacing w:after="0"/>
        <w:ind w:left="1724"/>
        <w:textAlignment w:val="auto"/>
        <w:rPr>
          <w:color w:val="44546A" w:themeColor="text2"/>
        </w:rPr>
      </w:pPr>
      <w:r w:rsidRPr="00A75A52">
        <w:rPr>
          <w:color w:val="44546A" w:themeColor="text2"/>
        </w:rPr>
        <w:t>The decision of supporting 60kHz is pending RAN1 check</w:t>
      </w:r>
    </w:p>
    <w:p w14:paraId="2312488B" w14:textId="77777777" w:rsidR="00FB22D7" w:rsidRPr="00A75A52" w:rsidRDefault="3E61DC49" w:rsidP="3E61DC49">
      <w:pPr>
        <w:numPr>
          <w:ilvl w:val="0"/>
          <w:numId w:val="33"/>
        </w:numPr>
        <w:tabs>
          <w:tab w:val="clear" w:pos="720"/>
          <w:tab w:val="num" w:pos="1004"/>
        </w:tabs>
        <w:overflowPunct/>
        <w:autoSpaceDE/>
        <w:autoSpaceDN/>
        <w:adjustRightInd/>
        <w:spacing w:after="0"/>
        <w:ind w:left="1004"/>
        <w:textAlignment w:val="auto"/>
        <w:rPr>
          <w:color w:val="44546A" w:themeColor="text2"/>
        </w:rPr>
      </w:pPr>
      <w:r w:rsidRPr="00A75A52">
        <w:rPr>
          <w:color w:val="44546A" w:themeColor="text2"/>
        </w:rPr>
        <w:t>SCS supported for bands between 1GHz and 6GHz</w:t>
      </w:r>
    </w:p>
    <w:p w14:paraId="0F75D404" w14:textId="77777777" w:rsidR="00FB22D7" w:rsidRPr="00A75A52" w:rsidRDefault="3E61DC49" w:rsidP="3E61DC49">
      <w:pPr>
        <w:numPr>
          <w:ilvl w:val="1"/>
          <w:numId w:val="33"/>
        </w:numPr>
        <w:tabs>
          <w:tab w:val="clear" w:pos="1440"/>
          <w:tab w:val="num" w:pos="1724"/>
        </w:tabs>
        <w:overflowPunct/>
        <w:autoSpaceDE/>
        <w:autoSpaceDN/>
        <w:adjustRightInd/>
        <w:spacing w:after="0"/>
        <w:ind w:left="1724"/>
        <w:textAlignment w:val="auto"/>
        <w:rPr>
          <w:color w:val="44546A" w:themeColor="text2"/>
        </w:rPr>
      </w:pPr>
      <w:r w:rsidRPr="00A75A52">
        <w:rPr>
          <w:color w:val="44546A" w:themeColor="text2"/>
        </w:rPr>
        <w:t>15kHz, 30kHz, 60kHz</w:t>
      </w:r>
    </w:p>
    <w:p w14:paraId="365356ED" w14:textId="77777777" w:rsidR="00FB22D7" w:rsidRPr="00A75A52" w:rsidRDefault="3E61DC49" w:rsidP="3E61DC49">
      <w:pPr>
        <w:numPr>
          <w:ilvl w:val="0"/>
          <w:numId w:val="33"/>
        </w:numPr>
        <w:tabs>
          <w:tab w:val="clear" w:pos="720"/>
          <w:tab w:val="num" w:pos="1004"/>
        </w:tabs>
        <w:overflowPunct/>
        <w:autoSpaceDE/>
        <w:autoSpaceDN/>
        <w:adjustRightInd/>
        <w:spacing w:after="0"/>
        <w:ind w:left="1004"/>
        <w:textAlignment w:val="auto"/>
        <w:rPr>
          <w:color w:val="44546A" w:themeColor="text2"/>
        </w:rPr>
      </w:pPr>
      <w:r w:rsidRPr="00A75A52">
        <w:rPr>
          <w:color w:val="44546A" w:themeColor="text2"/>
        </w:rPr>
        <w:t>SCS supported for bands above 24GHz and below 52.6GHz</w:t>
      </w:r>
    </w:p>
    <w:p w14:paraId="363A81CA" w14:textId="77777777" w:rsidR="00FB22D7" w:rsidRPr="00A75A52" w:rsidRDefault="3E61DC49" w:rsidP="3E61DC49">
      <w:pPr>
        <w:numPr>
          <w:ilvl w:val="1"/>
          <w:numId w:val="33"/>
        </w:numPr>
        <w:tabs>
          <w:tab w:val="clear" w:pos="1440"/>
          <w:tab w:val="num" w:pos="1724"/>
        </w:tabs>
        <w:overflowPunct/>
        <w:autoSpaceDE/>
        <w:autoSpaceDN/>
        <w:adjustRightInd/>
        <w:spacing w:after="0"/>
        <w:ind w:left="1724"/>
        <w:textAlignment w:val="auto"/>
        <w:rPr>
          <w:color w:val="44546A" w:themeColor="text2"/>
        </w:rPr>
      </w:pPr>
      <w:r w:rsidRPr="00A75A52">
        <w:rPr>
          <w:color w:val="44546A" w:themeColor="text2"/>
        </w:rPr>
        <w:t>60 kHz, 120kHz</w:t>
      </w:r>
    </w:p>
    <w:p w14:paraId="7D91E4FE" w14:textId="77777777" w:rsidR="00FB22D7" w:rsidRPr="00A75A52" w:rsidRDefault="3E61DC49" w:rsidP="3E61DC49">
      <w:pPr>
        <w:numPr>
          <w:ilvl w:val="1"/>
          <w:numId w:val="33"/>
        </w:numPr>
        <w:tabs>
          <w:tab w:val="clear" w:pos="1440"/>
          <w:tab w:val="num" w:pos="1724"/>
        </w:tabs>
        <w:overflowPunct/>
        <w:autoSpaceDE/>
        <w:autoSpaceDN/>
        <w:adjustRightInd/>
        <w:spacing w:after="0"/>
        <w:ind w:left="1724"/>
        <w:textAlignment w:val="auto"/>
        <w:rPr>
          <w:color w:val="44546A" w:themeColor="text2"/>
        </w:rPr>
      </w:pPr>
      <w:r w:rsidRPr="00A75A52">
        <w:rPr>
          <w:color w:val="44546A" w:themeColor="text2"/>
        </w:rPr>
        <w:t>240kHz is not applicable for data</w:t>
      </w:r>
    </w:p>
    <w:p w14:paraId="610AD078" w14:textId="77777777" w:rsidR="00FB22D7" w:rsidRPr="00A75A52" w:rsidRDefault="3E61DC49" w:rsidP="3E61DC49">
      <w:pPr>
        <w:numPr>
          <w:ilvl w:val="0"/>
          <w:numId w:val="34"/>
        </w:numPr>
        <w:overflowPunct/>
        <w:autoSpaceDE/>
        <w:autoSpaceDN/>
        <w:adjustRightInd/>
        <w:spacing w:after="0"/>
        <w:ind w:left="2864"/>
        <w:textAlignment w:val="auto"/>
        <w:rPr>
          <w:color w:val="44546A" w:themeColor="text2"/>
        </w:rPr>
      </w:pPr>
      <w:r w:rsidRPr="00A75A52">
        <w:rPr>
          <w:color w:val="44546A" w:themeColor="text2"/>
        </w:rPr>
        <w:t xml:space="preserve">240kHz for data can be further considered if a clear benefit is shown </w:t>
      </w:r>
    </w:p>
    <w:p w14:paraId="76EC7085" w14:textId="77777777" w:rsidR="00FB22D7" w:rsidRPr="00A75A52" w:rsidRDefault="3E61DC49" w:rsidP="3E61DC49">
      <w:pPr>
        <w:numPr>
          <w:ilvl w:val="0"/>
          <w:numId w:val="33"/>
        </w:numPr>
        <w:tabs>
          <w:tab w:val="clear" w:pos="720"/>
          <w:tab w:val="num" w:pos="1004"/>
        </w:tabs>
        <w:overflowPunct/>
        <w:autoSpaceDE/>
        <w:autoSpaceDN/>
        <w:adjustRightInd/>
        <w:spacing w:after="0"/>
        <w:ind w:left="1004"/>
        <w:textAlignment w:val="auto"/>
        <w:rPr>
          <w:color w:val="44546A" w:themeColor="text2"/>
        </w:rPr>
      </w:pPr>
      <w:r w:rsidRPr="00A75A52">
        <w:rPr>
          <w:color w:val="44546A" w:themeColor="text2"/>
        </w:rPr>
        <w:t>SCS support is band dependent</w:t>
      </w:r>
    </w:p>
    <w:p w14:paraId="67A591DB" w14:textId="77777777" w:rsidR="00FB22D7" w:rsidRPr="00A75A52" w:rsidRDefault="3E61DC49" w:rsidP="3E61DC49">
      <w:pPr>
        <w:numPr>
          <w:ilvl w:val="0"/>
          <w:numId w:val="33"/>
        </w:numPr>
        <w:tabs>
          <w:tab w:val="clear" w:pos="720"/>
          <w:tab w:val="num" w:pos="1004"/>
        </w:tabs>
        <w:overflowPunct/>
        <w:autoSpaceDE/>
        <w:autoSpaceDN/>
        <w:adjustRightInd/>
        <w:spacing w:after="0"/>
        <w:ind w:left="1004"/>
        <w:textAlignment w:val="auto"/>
        <w:rPr>
          <w:color w:val="44546A" w:themeColor="text2"/>
        </w:rPr>
      </w:pPr>
      <w:r w:rsidRPr="00A75A52">
        <w:rPr>
          <w:color w:val="44546A" w:themeColor="text2"/>
        </w:rPr>
        <w:t>RAN4 assumes others SCS at least for data may be added in a forward compatible manner in later releases</w:t>
      </w:r>
    </w:p>
    <w:p w14:paraId="55D95BFE" w14:textId="5869F254" w:rsidR="00FB22D7" w:rsidRDefault="32975CEE" w:rsidP="32975CEE">
      <w:pPr>
        <w:spacing w:before="100" w:beforeAutospacing="1" w:after="120"/>
        <w:jc w:val="both"/>
        <w:rPr>
          <w:rFonts w:cstheme="minorBidi"/>
          <w:sz w:val="22"/>
          <w:szCs w:val="22"/>
        </w:rPr>
      </w:pPr>
      <w:r>
        <w:t>While the NR study item TR38.802 [4] captures the following agreement on slot:</w:t>
      </w:r>
    </w:p>
    <w:p w14:paraId="0EAB0C86" w14:textId="77777777" w:rsidR="00FB22D7" w:rsidRPr="00A75A52" w:rsidRDefault="3E61DC49" w:rsidP="3E61DC49">
      <w:pPr>
        <w:ind w:left="284"/>
        <w:rPr>
          <w:color w:val="44546A" w:themeColor="text2"/>
        </w:rPr>
      </w:pPr>
      <w:r w:rsidRPr="00A75A52">
        <w:rPr>
          <w:color w:val="44546A" w:themeColor="text2"/>
        </w:rPr>
        <w:t xml:space="preserve">A slot can contain all downlink, all uplink, or {at least one downlink part and at least one uplink part}. Slot aggregation is supported, i.e., data transmission can be scheduled to span one or multiple slots. </w:t>
      </w:r>
    </w:p>
    <w:p w14:paraId="530C1DB6" w14:textId="5FC8FEAE" w:rsidR="00FB22D7" w:rsidRDefault="3E61DC49" w:rsidP="3E61DC49">
      <w:r>
        <w:t xml:space="preserve">One of the motivations to introduce slot aggregation is to deal with the short slot duration in case of high SCS. In table 1, the scheduling intervals originating from different slot aggregation levels used with different sub-carrier spacings and slot durations are collected. </w:t>
      </w:r>
    </w:p>
    <w:p w14:paraId="22995DC2" w14:textId="40C0214B" w:rsidR="000717FB" w:rsidRDefault="000717FB" w:rsidP="3E61DC49">
      <w:pPr>
        <w:rPr>
          <w:rFonts w:cstheme="minorBidi"/>
          <w:sz w:val="22"/>
          <w:szCs w:val="22"/>
        </w:rPr>
      </w:pPr>
    </w:p>
    <w:p w14:paraId="25CA10A4" w14:textId="77777777" w:rsidR="00A75A52" w:rsidRDefault="00A75A52" w:rsidP="3E61DC49">
      <w:pPr>
        <w:rPr>
          <w:rFonts w:cstheme="minorBidi"/>
          <w:sz w:val="22"/>
          <w:szCs w:val="22"/>
        </w:rPr>
      </w:pPr>
    </w:p>
    <w:p w14:paraId="12DCAF54" w14:textId="77777777" w:rsidR="00FB22D7" w:rsidRDefault="00FB22D7" w:rsidP="00B967B8">
      <w:pPr>
        <w:pStyle w:val="Caption"/>
        <w:keepNext/>
        <w:jc w:val="center"/>
      </w:pPr>
      <w:bookmarkStart w:id="3" w:name="_Ref452368703"/>
      <w:r>
        <w:lastRenderedPageBreak/>
        <w:t xml:space="preserve">Table </w:t>
      </w:r>
      <w:r>
        <w:fldChar w:fldCharType="begin"/>
      </w:r>
      <w:r>
        <w:instrText xml:space="preserve"> SEQ Table \* ARABIC </w:instrText>
      </w:r>
      <w:r>
        <w:fldChar w:fldCharType="separate"/>
      </w:r>
      <w:r>
        <w:rPr>
          <w:noProof/>
        </w:rPr>
        <w:t>1</w:t>
      </w:r>
      <w:r>
        <w:fldChar w:fldCharType="end"/>
      </w:r>
      <w:bookmarkEnd w:id="3"/>
      <w:r>
        <w:rPr>
          <w:noProof/>
        </w:rPr>
        <w:t>:</w:t>
      </w:r>
      <w:r w:rsidRPr="10E807B4">
        <w:t xml:space="preserve"> </w:t>
      </w:r>
      <w:r>
        <w:rPr>
          <w:lang w:val="en-US"/>
        </w:rPr>
        <w:t>Examples of differerent s</w:t>
      </w:r>
      <w:r>
        <w:t>cheduling intervals with different slot aggregation levels (AL)</w:t>
      </w:r>
    </w:p>
    <w:tbl>
      <w:tblPr>
        <w:tblW w:w="6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127"/>
        <w:gridCol w:w="656"/>
        <w:gridCol w:w="802"/>
        <w:gridCol w:w="859"/>
        <w:gridCol w:w="866"/>
        <w:gridCol w:w="1083"/>
      </w:tblGrid>
      <w:tr w:rsidR="00FB22D7" w14:paraId="4E997571" w14:textId="77777777" w:rsidTr="10E807B4">
        <w:trPr>
          <w:jc w:val="center"/>
        </w:trPr>
        <w:tc>
          <w:tcPr>
            <w:tcW w:w="2153" w:type="dxa"/>
            <w:gridSpan w:val="2"/>
            <w:tcBorders>
              <w:top w:val="single" w:sz="4" w:space="0" w:color="auto"/>
              <w:left w:val="single" w:sz="4" w:space="0" w:color="auto"/>
              <w:bottom w:val="single" w:sz="4" w:space="0" w:color="auto"/>
              <w:right w:val="single" w:sz="4" w:space="0" w:color="auto"/>
            </w:tcBorders>
            <w:hideMark/>
          </w:tcPr>
          <w:p w14:paraId="373EE5AF" w14:textId="77777777" w:rsidR="00FB22D7" w:rsidRDefault="3E61DC49" w:rsidP="3E61DC49">
            <w:pPr>
              <w:pStyle w:val="00BodyText"/>
              <w:spacing w:after="0"/>
              <w:rPr>
                <w:rFonts w:ascii="Times New Roman" w:hAnsi="Times New Roman"/>
                <w:b/>
                <w:bCs/>
                <w:sz w:val="20"/>
                <w:lang w:val="en-GB"/>
              </w:rPr>
            </w:pPr>
            <w:r w:rsidRPr="3E61DC49">
              <w:rPr>
                <w:rFonts w:ascii="Times New Roman" w:hAnsi="Times New Roman"/>
                <w:b/>
                <w:bCs/>
                <w:sz w:val="20"/>
                <w:lang w:val="en-GB"/>
              </w:rPr>
              <w:t>Subcarrier spacing [kHz]</w:t>
            </w:r>
          </w:p>
        </w:tc>
        <w:tc>
          <w:tcPr>
            <w:tcW w:w="65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2FE3EF3" w14:textId="77777777" w:rsidR="00FB22D7" w:rsidRDefault="10E807B4" w:rsidP="10E807B4">
            <w:pPr>
              <w:pStyle w:val="00BodyText"/>
              <w:spacing w:after="0"/>
              <w:jc w:val="center"/>
              <w:rPr>
                <w:rFonts w:ascii="Times New Roman" w:hAnsi="Times New Roman"/>
                <w:b/>
                <w:bCs/>
                <w:sz w:val="20"/>
                <w:lang w:val="en-GB"/>
              </w:rPr>
            </w:pPr>
            <w:r w:rsidRPr="10E807B4">
              <w:rPr>
                <w:rFonts w:ascii="Times New Roman" w:hAnsi="Times New Roman"/>
                <w:b/>
                <w:bCs/>
                <w:sz w:val="20"/>
                <w:lang w:val="en-GB"/>
              </w:rPr>
              <w:t>15</w:t>
            </w:r>
          </w:p>
        </w:tc>
        <w:tc>
          <w:tcPr>
            <w:tcW w:w="802" w:type="dxa"/>
            <w:tcBorders>
              <w:top w:val="single" w:sz="4" w:space="0" w:color="auto"/>
              <w:left w:val="single" w:sz="4" w:space="0" w:color="auto"/>
              <w:bottom w:val="single" w:sz="4" w:space="0" w:color="auto"/>
              <w:right w:val="single" w:sz="4" w:space="0" w:color="auto"/>
            </w:tcBorders>
            <w:hideMark/>
          </w:tcPr>
          <w:p w14:paraId="6EC1919E" w14:textId="77777777" w:rsidR="00FB22D7" w:rsidRDefault="10E807B4" w:rsidP="10E807B4">
            <w:pPr>
              <w:pStyle w:val="00BodyText"/>
              <w:spacing w:after="0"/>
              <w:jc w:val="center"/>
              <w:rPr>
                <w:rFonts w:ascii="Times New Roman" w:hAnsi="Times New Roman"/>
                <w:b/>
                <w:bCs/>
                <w:sz w:val="20"/>
                <w:lang w:val="en-GB"/>
              </w:rPr>
            </w:pPr>
            <w:r w:rsidRPr="10E807B4">
              <w:rPr>
                <w:rFonts w:ascii="Times New Roman" w:hAnsi="Times New Roman"/>
                <w:b/>
                <w:bCs/>
                <w:sz w:val="20"/>
                <w:lang w:val="en-GB"/>
              </w:rPr>
              <w:t>30</w:t>
            </w:r>
          </w:p>
        </w:tc>
        <w:tc>
          <w:tcPr>
            <w:tcW w:w="85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2FC5416" w14:textId="77777777" w:rsidR="00FB22D7" w:rsidRDefault="10E807B4" w:rsidP="10E807B4">
            <w:pPr>
              <w:pStyle w:val="00BodyText"/>
              <w:spacing w:after="0"/>
              <w:jc w:val="center"/>
              <w:rPr>
                <w:rFonts w:ascii="Times New Roman" w:hAnsi="Times New Roman"/>
                <w:b/>
                <w:bCs/>
                <w:sz w:val="20"/>
                <w:lang w:val="en-GB"/>
              </w:rPr>
            </w:pPr>
            <w:r w:rsidRPr="10E807B4">
              <w:rPr>
                <w:rFonts w:ascii="Times New Roman" w:hAnsi="Times New Roman"/>
                <w:b/>
                <w:bCs/>
                <w:sz w:val="20"/>
                <w:lang w:val="en-GB"/>
              </w:rPr>
              <w:t>60</w:t>
            </w:r>
          </w:p>
        </w:tc>
        <w:tc>
          <w:tcPr>
            <w:tcW w:w="866" w:type="dxa"/>
            <w:tcBorders>
              <w:top w:val="single" w:sz="4" w:space="0" w:color="auto"/>
              <w:left w:val="single" w:sz="4" w:space="0" w:color="auto"/>
              <w:bottom w:val="single" w:sz="4" w:space="0" w:color="auto"/>
              <w:right w:val="single" w:sz="4" w:space="0" w:color="auto"/>
            </w:tcBorders>
            <w:hideMark/>
          </w:tcPr>
          <w:p w14:paraId="753299F2" w14:textId="77777777" w:rsidR="00FB22D7" w:rsidRDefault="10E807B4" w:rsidP="10E807B4">
            <w:pPr>
              <w:pStyle w:val="00BodyText"/>
              <w:spacing w:after="0"/>
              <w:jc w:val="center"/>
              <w:rPr>
                <w:rFonts w:ascii="Times New Roman" w:hAnsi="Times New Roman"/>
                <w:b/>
                <w:bCs/>
                <w:sz w:val="20"/>
                <w:lang w:val="en-GB"/>
              </w:rPr>
            </w:pPr>
            <w:r w:rsidRPr="10E807B4">
              <w:rPr>
                <w:rFonts w:ascii="Times New Roman" w:hAnsi="Times New Roman"/>
                <w:b/>
                <w:bCs/>
                <w:sz w:val="20"/>
                <w:lang w:val="en-GB"/>
              </w:rPr>
              <w:t>120</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148BD78" w14:textId="77777777" w:rsidR="00FB22D7" w:rsidRDefault="3E61DC49" w:rsidP="3E61DC49">
            <w:pPr>
              <w:pStyle w:val="00BodyText"/>
              <w:spacing w:after="0"/>
              <w:jc w:val="center"/>
              <w:rPr>
                <w:rFonts w:ascii="Times New Roman" w:hAnsi="Times New Roman"/>
                <w:b/>
                <w:bCs/>
                <w:sz w:val="20"/>
                <w:lang w:val="en-GB"/>
              </w:rPr>
            </w:pPr>
            <w:r w:rsidRPr="3E61DC49">
              <w:rPr>
                <w:rFonts w:ascii="Times New Roman" w:hAnsi="Times New Roman"/>
                <w:b/>
                <w:bCs/>
                <w:sz w:val="20"/>
                <w:lang w:val="en-GB"/>
              </w:rPr>
              <w:t>240 if supported</w:t>
            </w:r>
          </w:p>
        </w:tc>
      </w:tr>
      <w:tr w:rsidR="00FB22D7" w14:paraId="00539643" w14:textId="77777777" w:rsidTr="10E807B4">
        <w:trPr>
          <w:jc w:val="center"/>
        </w:trPr>
        <w:tc>
          <w:tcPr>
            <w:tcW w:w="2153" w:type="dxa"/>
            <w:gridSpan w:val="2"/>
            <w:tcBorders>
              <w:top w:val="single" w:sz="4" w:space="0" w:color="auto"/>
              <w:left w:val="single" w:sz="4" w:space="0" w:color="auto"/>
              <w:bottom w:val="single" w:sz="4" w:space="0" w:color="auto"/>
              <w:right w:val="single" w:sz="4" w:space="0" w:color="auto"/>
            </w:tcBorders>
            <w:hideMark/>
          </w:tcPr>
          <w:p w14:paraId="703B4983" w14:textId="77777777" w:rsidR="00FB22D7" w:rsidRDefault="3E61DC49" w:rsidP="3E61DC49">
            <w:pPr>
              <w:pStyle w:val="00BodyText"/>
              <w:spacing w:after="0"/>
              <w:rPr>
                <w:rFonts w:ascii="Times New Roman" w:hAnsi="Times New Roman"/>
                <w:sz w:val="18"/>
                <w:szCs w:val="18"/>
                <w:lang w:val="en-GB"/>
              </w:rPr>
            </w:pPr>
            <w:r w:rsidRPr="3E61DC49">
              <w:rPr>
                <w:rFonts w:ascii="Times New Roman" w:hAnsi="Times New Roman"/>
                <w:sz w:val="18"/>
                <w:szCs w:val="18"/>
                <w:lang w:val="en-GB"/>
              </w:rPr>
              <w:t>Symbol duration [us]</w:t>
            </w:r>
          </w:p>
        </w:tc>
        <w:tc>
          <w:tcPr>
            <w:tcW w:w="65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D802226" w14:textId="77777777" w:rsidR="00FB22D7" w:rsidRDefault="10E807B4" w:rsidP="10E807B4">
            <w:pPr>
              <w:pStyle w:val="00BodyText"/>
              <w:spacing w:after="0"/>
              <w:jc w:val="center"/>
              <w:rPr>
                <w:rFonts w:ascii="Times New Roman" w:hAnsi="Times New Roman"/>
                <w:sz w:val="18"/>
                <w:szCs w:val="18"/>
                <w:lang w:val="en-GB"/>
              </w:rPr>
            </w:pPr>
            <w:r w:rsidRPr="10E807B4">
              <w:rPr>
                <w:rFonts w:ascii="Times New Roman" w:hAnsi="Times New Roman"/>
                <w:sz w:val="18"/>
                <w:szCs w:val="18"/>
                <w:lang w:val="en-GB"/>
              </w:rPr>
              <w:t>66.7</w:t>
            </w:r>
          </w:p>
        </w:tc>
        <w:tc>
          <w:tcPr>
            <w:tcW w:w="802" w:type="dxa"/>
            <w:tcBorders>
              <w:top w:val="single" w:sz="4" w:space="0" w:color="auto"/>
              <w:left w:val="single" w:sz="4" w:space="0" w:color="auto"/>
              <w:bottom w:val="single" w:sz="4" w:space="0" w:color="auto"/>
              <w:right w:val="single" w:sz="4" w:space="0" w:color="auto"/>
            </w:tcBorders>
            <w:hideMark/>
          </w:tcPr>
          <w:p w14:paraId="27AAD383" w14:textId="77777777" w:rsidR="00FB22D7" w:rsidRDefault="10E807B4" w:rsidP="10E807B4">
            <w:pPr>
              <w:pStyle w:val="00BodyText"/>
              <w:spacing w:after="0"/>
              <w:jc w:val="center"/>
              <w:rPr>
                <w:rFonts w:ascii="Times New Roman" w:hAnsi="Times New Roman"/>
                <w:sz w:val="18"/>
                <w:szCs w:val="18"/>
                <w:lang w:val="en-GB"/>
              </w:rPr>
            </w:pPr>
            <w:r w:rsidRPr="10E807B4">
              <w:rPr>
                <w:rFonts w:ascii="Times New Roman" w:hAnsi="Times New Roman"/>
                <w:sz w:val="18"/>
                <w:szCs w:val="18"/>
                <w:lang w:val="en-GB"/>
              </w:rPr>
              <w:t>33.3</w:t>
            </w:r>
          </w:p>
        </w:tc>
        <w:tc>
          <w:tcPr>
            <w:tcW w:w="85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F811BE9" w14:textId="77777777" w:rsidR="00FB22D7" w:rsidRDefault="10E807B4" w:rsidP="10E807B4">
            <w:pPr>
              <w:pStyle w:val="00BodyText"/>
              <w:spacing w:after="0"/>
              <w:jc w:val="center"/>
              <w:rPr>
                <w:rFonts w:ascii="Times New Roman" w:hAnsi="Times New Roman"/>
                <w:sz w:val="18"/>
                <w:szCs w:val="18"/>
                <w:lang w:val="en-GB"/>
              </w:rPr>
            </w:pPr>
            <w:r w:rsidRPr="10E807B4">
              <w:rPr>
                <w:rFonts w:ascii="Times New Roman" w:hAnsi="Times New Roman"/>
                <w:sz w:val="18"/>
                <w:szCs w:val="18"/>
                <w:lang w:val="en-GB"/>
              </w:rPr>
              <w:t>16.7</w:t>
            </w:r>
          </w:p>
        </w:tc>
        <w:tc>
          <w:tcPr>
            <w:tcW w:w="866" w:type="dxa"/>
            <w:tcBorders>
              <w:top w:val="single" w:sz="4" w:space="0" w:color="auto"/>
              <w:left w:val="single" w:sz="4" w:space="0" w:color="auto"/>
              <w:bottom w:val="single" w:sz="4" w:space="0" w:color="auto"/>
              <w:right w:val="single" w:sz="4" w:space="0" w:color="auto"/>
            </w:tcBorders>
            <w:hideMark/>
          </w:tcPr>
          <w:p w14:paraId="771892E2" w14:textId="77777777" w:rsidR="00FB22D7" w:rsidRDefault="10E807B4" w:rsidP="10E807B4">
            <w:pPr>
              <w:pStyle w:val="00BodyText"/>
              <w:spacing w:after="0"/>
              <w:jc w:val="center"/>
              <w:rPr>
                <w:rFonts w:ascii="Times New Roman" w:hAnsi="Times New Roman"/>
                <w:sz w:val="18"/>
                <w:szCs w:val="18"/>
                <w:lang w:val="en-GB"/>
              </w:rPr>
            </w:pPr>
            <w:r w:rsidRPr="10E807B4">
              <w:rPr>
                <w:rFonts w:ascii="Times New Roman" w:hAnsi="Times New Roman"/>
                <w:sz w:val="18"/>
                <w:szCs w:val="18"/>
                <w:lang w:val="en-GB"/>
              </w:rPr>
              <w:t>8.33</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4C7CEC2" w14:textId="77777777" w:rsidR="00FB22D7" w:rsidRDefault="10E807B4" w:rsidP="10E807B4">
            <w:pPr>
              <w:pStyle w:val="00BodyText"/>
              <w:spacing w:after="0"/>
              <w:jc w:val="center"/>
              <w:rPr>
                <w:rFonts w:ascii="Times New Roman" w:hAnsi="Times New Roman"/>
                <w:sz w:val="18"/>
                <w:szCs w:val="18"/>
                <w:lang w:val="en-GB"/>
              </w:rPr>
            </w:pPr>
            <w:r w:rsidRPr="10E807B4">
              <w:rPr>
                <w:rFonts w:ascii="Times New Roman" w:hAnsi="Times New Roman"/>
                <w:sz w:val="18"/>
                <w:szCs w:val="18"/>
                <w:lang w:val="en-GB"/>
              </w:rPr>
              <w:t>4.17</w:t>
            </w:r>
          </w:p>
        </w:tc>
      </w:tr>
      <w:tr w:rsidR="00FB22D7" w14:paraId="6BEC34DA" w14:textId="77777777" w:rsidTr="10E807B4">
        <w:trPr>
          <w:jc w:val="center"/>
        </w:trPr>
        <w:tc>
          <w:tcPr>
            <w:tcW w:w="2153" w:type="dxa"/>
            <w:gridSpan w:val="2"/>
            <w:tcBorders>
              <w:top w:val="single" w:sz="4" w:space="0" w:color="auto"/>
              <w:left w:val="single" w:sz="4" w:space="0" w:color="auto"/>
              <w:bottom w:val="single" w:sz="4" w:space="0" w:color="auto"/>
              <w:right w:val="single" w:sz="4" w:space="0" w:color="auto"/>
            </w:tcBorders>
            <w:hideMark/>
          </w:tcPr>
          <w:p w14:paraId="21B83B25" w14:textId="77777777" w:rsidR="00FB22D7" w:rsidRDefault="3E61DC49" w:rsidP="3E61DC49">
            <w:pPr>
              <w:pStyle w:val="00BodyText"/>
              <w:spacing w:after="0"/>
              <w:rPr>
                <w:rFonts w:ascii="Times New Roman" w:hAnsi="Times New Roman"/>
                <w:sz w:val="18"/>
                <w:szCs w:val="18"/>
                <w:lang w:val="en-GB"/>
              </w:rPr>
            </w:pPr>
            <w:r w:rsidRPr="3E61DC49">
              <w:rPr>
                <w:rFonts w:ascii="Times New Roman" w:hAnsi="Times New Roman"/>
                <w:sz w:val="18"/>
                <w:szCs w:val="18"/>
                <w:lang w:val="en-GB"/>
              </w:rPr>
              <w:t>Nominal CP [us]</w:t>
            </w:r>
          </w:p>
        </w:tc>
        <w:tc>
          <w:tcPr>
            <w:tcW w:w="65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3C1B3C4" w14:textId="77777777" w:rsidR="00FB22D7" w:rsidRDefault="10E807B4" w:rsidP="10E807B4">
            <w:pPr>
              <w:pStyle w:val="00BodyText"/>
              <w:spacing w:after="0"/>
              <w:jc w:val="center"/>
              <w:rPr>
                <w:rFonts w:ascii="Times New Roman" w:hAnsi="Times New Roman"/>
                <w:sz w:val="18"/>
                <w:szCs w:val="18"/>
                <w:lang w:val="en-GB"/>
              </w:rPr>
            </w:pPr>
            <w:r w:rsidRPr="10E807B4">
              <w:rPr>
                <w:rFonts w:ascii="Times New Roman" w:hAnsi="Times New Roman"/>
                <w:sz w:val="18"/>
                <w:szCs w:val="18"/>
                <w:lang w:val="en-GB"/>
              </w:rPr>
              <w:t>4.7</w:t>
            </w:r>
          </w:p>
        </w:tc>
        <w:tc>
          <w:tcPr>
            <w:tcW w:w="802" w:type="dxa"/>
            <w:tcBorders>
              <w:top w:val="single" w:sz="4" w:space="0" w:color="auto"/>
              <w:left w:val="single" w:sz="4" w:space="0" w:color="auto"/>
              <w:bottom w:val="single" w:sz="4" w:space="0" w:color="auto"/>
              <w:right w:val="single" w:sz="4" w:space="0" w:color="auto"/>
            </w:tcBorders>
            <w:hideMark/>
          </w:tcPr>
          <w:p w14:paraId="291A2658" w14:textId="77777777" w:rsidR="00FB22D7" w:rsidRDefault="10E807B4" w:rsidP="10E807B4">
            <w:pPr>
              <w:pStyle w:val="00BodyText"/>
              <w:spacing w:after="0"/>
              <w:jc w:val="center"/>
              <w:rPr>
                <w:rFonts w:ascii="Times New Roman" w:hAnsi="Times New Roman"/>
                <w:sz w:val="18"/>
                <w:szCs w:val="18"/>
                <w:lang w:val="en-GB"/>
              </w:rPr>
            </w:pPr>
            <w:r w:rsidRPr="10E807B4">
              <w:rPr>
                <w:rFonts w:ascii="Times New Roman" w:hAnsi="Times New Roman"/>
                <w:sz w:val="18"/>
                <w:szCs w:val="18"/>
                <w:lang w:val="en-GB"/>
              </w:rPr>
              <w:t>2.3</w:t>
            </w:r>
          </w:p>
        </w:tc>
        <w:tc>
          <w:tcPr>
            <w:tcW w:w="85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B3DC406" w14:textId="77777777" w:rsidR="00FB22D7" w:rsidRDefault="10E807B4" w:rsidP="10E807B4">
            <w:pPr>
              <w:pStyle w:val="00BodyText"/>
              <w:spacing w:after="0"/>
              <w:jc w:val="center"/>
              <w:rPr>
                <w:rFonts w:ascii="Times New Roman" w:hAnsi="Times New Roman"/>
                <w:sz w:val="18"/>
                <w:szCs w:val="18"/>
                <w:lang w:val="en-GB"/>
              </w:rPr>
            </w:pPr>
            <w:r w:rsidRPr="10E807B4">
              <w:rPr>
                <w:rFonts w:ascii="Times New Roman" w:hAnsi="Times New Roman"/>
                <w:sz w:val="18"/>
                <w:szCs w:val="18"/>
                <w:lang w:val="en-GB"/>
              </w:rPr>
              <w:t>1.2</w:t>
            </w:r>
          </w:p>
        </w:tc>
        <w:tc>
          <w:tcPr>
            <w:tcW w:w="866" w:type="dxa"/>
            <w:tcBorders>
              <w:top w:val="single" w:sz="4" w:space="0" w:color="auto"/>
              <w:left w:val="single" w:sz="4" w:space="0" w:color="auto"/>
              <w:bottom w:val="single" w:sz="4" w:space="0" w:color="auto"/>
              <w:right w:val="single" w:sz="4" w:space="0" w:color="auto"/>
            </w:tcBorders>
            <w:hideMark/>
          </w:tcPr>
          <w:p w14:paraId="3B961404" w14:textId="77777777" w:rsidR="00FB22D7" w:rsidRDefault="10E807B4" w:rsidP="10E807B4">
            <w:pPr>
              <w:pStyle w:val="00BodyText"/>
              <w:spacing w:after="0"/>
              <w:jc w:val="center"/>
              <w:rPr>
                <w:rFonts w:ascii="Times New Roman" w:hAnsi="Times New Roman"/>
                <w:sz w:val="18"/>
                <w:szCs w:val="18"/>
                <w:lang w:val="en-GB"/>
              </w:rPr>
            </w:pPr>
            <w:r w:rsidRPr="10E807B4">
              <w:rPr>
                <w:rFonts w:ascii="Times New Roman" w:hAnsi="Times New Roman"/>
                <w:sz w:val="18"/>
                <w:szCs w:val="18"/>
                <w:lang w:val="en-GB"/>
              </w:rPr>
              <w:t>0.59</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78A9E6B" w14:textId="77777777" w:rsidR="00FB22D7" w:rsidRDefault="10E807B4" w:rsidP="10E807B4">
            <w:pPr>
              <w:pStyle w:val="00BodyText"/>
              <w:spacing w:after="0"/>
              <w:jc w:val="center"/>
              <w:rPr>
                <w:rFonts w:ascii="Times New Roman" w:hAnsi="Times New Roman"/>
                <w:sz w:val="18"/>
                <w:szCs w:val="18"/>
                <w:lang w:val="en-GB"/>
              </w:rPr>
            </w:pPr>
            <w:r w:rsidRPr="10E807B4">
              <w:rPr>
                <w:rFonts w:ascii="Times New Roman" w:hAnsi="Times New Roman"/>
                <w:sz w:val="18"/>
                <w:szCs w:val="18"/>
                <w:lang w:val="en-GB"/>
              </w:rPr>
              <w:t>0.29</w:t>
            </w:r>
          </w:p>
        </w:tc>
      </w:tr>
      <w:tr w:rsidR="00FB22D7" w14:paraId="34EE90B2" w14:textId="77777777" w:rsidTr="10E807B4">
        <w:trPr>
          <w:jc w:val="center"/>
        </w:trPr>
        <w:tc>
          <w:tcPr>
            <w:tcW w:w="2153" w:type="dxa"/>
            <w:gridSpan w:val="2"/>
            <w:tcBorders>
              <w:top w:val="single" w:sz="4" w:space="0" w:color="auto"/>
              <w:left w:val="single" w:sz="4" w:space="0" w:color="auto"/>
              <w:bottom w:val="single" w:sz="4" w:space="0" w:color="auto"/>
              <w:right w:val="single" w:sz="4" w:space="0" w:color="auto"/>
            </w:tcBorders>
            <w:hideMark/>
          </w:tcPr>
          <w:p w14:paraId="5FB4820F" w14:textId="77777777" w:rsidR="00FB22D7" w:rsidRDefault="3E61DC49" w:rsidP="3E61DC49">
            <w:pPr>
              <w:pStyle w:val="00BodyText"/>
              <w:spacing w:after="0"/>
              <w:rPr>
                <w:rFonts w:ascii="Times New Roman" w:hAnsi="Times New Roman"/>
                <w:sz w:val="18"/>
                <w:szCs w:val="18"/>
                <w:lang w:val="en-GB"/>
              </w:rPr>
            </w:pPr>
            <w:r w:rsidRPr="3E61DC49">
              <w:rPr>
                <w:rFonts w:ascii="Times New Roman" w:hAnsi="Times New Roman"/>
                <w:sz w:val="18"/>
                <w:szCs w:val="18"/>
                <w:lang w:val="en-GB"/>
              </w:rPr>
              <w:t>Slot duration [symbols]</w:t>
            </w:r>
          </w:p>
        </w:tc>
        <w:tc>
          <w:tcPr>
            <w:tcW w:w="65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AEE64D3" w14:textId="77777777" w:rsidR="00FB22D7" w:rsidRDefault="10E807B4" w:rsidP="10E807B4">
            <w:pPr>
              <w:pStyle w:val="00BodyText"/>
              <w:spacing w:after="0"/>
              <w:jc w:val="center"/>
              <w:rPr>
                <w:rFonts w:ascii="Times New Roman" w:hAnsi="Times New Roman"/>
                <w:sz w:val="18"/>
                <w:szCs w:val="18"/>
                <w:lang w:val="en-GB"/>
              </w:rPr>
            </w:pPr>
            <w:r w:rsidRPr="10E807B4">
              <w:rPr>
                <w:rFonts w:ascii="Times New Roman" w:hAnsi="Times New Roman"/>
                <w:sz w:val="18"/>
                <w:szCs w:val="18"/>
                <w:lang w:val="en-GB"/>
              </w:rPr>
              <w:t>14</w:t>
            </w:r>
          </w:p>
        </w:tc>
        <w:tc>
          <w:tcPr>
            <w:tcW w:w="802" w:type="dxa"/>
            <w:tcBorders>
              <w:top w:val="single" w:sz="4" w:space="0" w:color="auto"/>
              <w:left w:val="single" w:sz="4" w:space="0" w:color="auto"/>
              <w:bottom w:val="single" w:sz="4" w:space="0" w:color="auto"/>
              <w:right w:val="single" w:sz="4" w:space="0" w:color="auto"/>
            </w:tcBorders>
            <w:hideMark/>
          </w:tcPr>
          <w:p w14:paraId="169EB14C" w14:textId="77777777" w:rsidR="00FB22D7" w:rsidRDefault="10E807B4" w:rsidP="10E807B4">
            <w:pPr>
              <w:pStyle w:val="00BodyText"/>
              <w:spacing w:after="0"/>
              <w:jc w:val="center"/>
              <w:rPr>
                <w:rFonts w:ascii="Times New Roman" w:hAnsi="Times New Roman"/>
                <w:sz w:val="18"/>
                <w:szCs w:val="18"/>
                <w:lang w:val="en-GB"/>
              </w:rPr>
            </w:pPr>
            <w:r w:rsidRPr="10E807B4">
              <w:rPr>
                <w:rFonts w:ascii="Times New Roman" w:hAnsi="Times New Roman"/>
                <w:sz w:val="18"/>
                <w:szCs w:val="18"/>
                <w:lang w:val="en-GB"/>
              </w:rPr>
              <w:t>14</w:t>
            </w:r>
          </w:p>
        </w:tc>
        <w:tc>
          <w:tcPr>
            <w:tcW w:w="85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1045E64" w14:textId="77777777" w:rsidR="00FB22D7" w:rsidRDefault="10E807B4" w:rsidP="10E807B4">
            <w:pPr>
              <w:pStyle w:val="00BodyText"/>
              <w:spacing w:after="0"/>
              <w:jc w:val="center"/>
              <w:rPr>
                <w:rFonts w:ascii="Times New Roman" w:hAnsi="Times New Roman"/>
                <w:sz w:val="18"/>
                <w:szCs w:val="18"/>
                <w:lang w:val="en-GB"/>
              </w:rPr>
            </w:pPr>
            <w:r w:rsidRPr="10E807B4">
              <w:rPr>
                <w:rFonts w:ascii="Times New Roman" w:hAnsi="Times New Roman"/>
                <w:sz w:val="18"/>
                <w:szCs w:val="18"/>
                <w:lang w:val="en-GB"/>
              </w:rPr>
              <w:t>14</w:t>
            </w:r>
          </w:p>
        </w:tc>
        <w:tc>
          <w:tcPr>
            <w:tcW w:w="866" w:type="dxa"/>
            <w:tcBorders>
              <w:top w:val="single" w:sz="4" w:space="0" w:color="auto"/>
              <w:left w:val="single" w:sz="4" w:space="0" w:color="auto"/>
              <w:bottom w:val="single" w:sz="4" w:space="0" w:color="auto"/>
              <w:right w:val="single" w:sz="4" w:space="0" w:color="auto"/>
            </w:tcBorders>
            <w:hideMark/>
          </w:tcPr>
          <w:p w14:paraId="7FA5FB7D" w14:textId="77777777" w:rsidR="00FB22D7" w:rsidRDefault="10E807B4" w:rsidP="10E807B4">
            <w:pPr>
              <w:pStyle w:val="00BodyText"/>
              <w:spacing w:after="0"/>
              <w:jc w:val="center"/>
              <w:rPr>
                <w:rFonts w:ascii="Times New Roman" w:hAnsi="Times New Roman"/>
                <w:sz w:val="18"/>
                <w:szCs w:val="18"/>
                <w:lang w:val="en-GB"/>
              </w:rPr>
            </w:pPr>
            <w:r w:rsidRPr="10E807B4">
              <w:rPr>
                <w:rFonts w:ascii="Times New Roman" w:hAnsi="Times New Roman"/>
                <w:sz w:val="18"/>
                <w:szCs w:val="18"/>
                <w:lang w:val="en-GB"/>
              </w:rPr>
              <w:t>14</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DADF076" w14:textId="77777777" w:rsidR="00FB22D7" w:rsidRDefault="10E807B4" w:rsidP="10E807B4">
            <w:pPr>
              <w:pStyle w:val="00BodyText"/>
              <w:spacing w:after="0"/>
              <w:jc w:val="center"/>
              <w:rPr>
                <w:rFonts w:ascii="Times New Roman" w:hAnsi="Times New Roman"/>
                <w:sz w:val="18"/>
                <w:szCs w:val="18"/>
                <w:lang w:val="en-GB"/>
              </w:rPr>
            </w:pPr>
            <w:r w:rsidRPr="10E807B4">
              <w:rPr>
                <w:rFonts w:ascii="Times New Roman" w:hAnsi="Times New Roman"/>
                <w:sz w:val="18"/>
                <w:szCs w:val="18"/>
                <w:lang w:val="en-GB"/>
              </w:rPr>
              <w:t>14</w:t>
            </w:r>
          </w:p>
        </w:tc>
      </w:tr>
      <w:tr w:rsidR="00FB22D7" w14:paraId="5DF9D0BC" w14:textId="77777777" w:rsidTr="10E807B4">
        <w:trPr>
          <w:jc w:val="center"/>
        </w:trPr>
        <w:tc>
          <w:tcPr>
            <w:tcW w:w="1026" w:type="dxa"/>
            <w:vMerge w:val="restart"/>
            <w:tcBorders>
              <w:top w:val="single" w:sz="4" w:space="0" w:color="auto"/>
              <w:left w:val="single" w:sz="4" w:space="0" w:color="auto"/>
              <w:bottom w:val="single" w:sz="4" w:space="0" w:color="auto"/>
              <w:right w:val="single" w:sz="4" w:space="0" w:color="auto"/>
            </w:tcBorders>
            <w:vAlign w:val="center"/>
            <w:hideMark/>
          </w:tcPr>
          <w:p w14:paraId="3F31CE7C" w14:textId="77777777" w:rsidR="00FB22D7" w:rsidRDefault="10E807B4" w:rsidP="10E807B4">
            <w:pPr>
              <w:pStyle w:val="00BodyText"/>
              <w:spacing w:after="0"/>
              <w:rPr>
                <w:rFonts w:ascii="Times New Roman" w:hAnsi="Times New Roman"/>
                <w:sz w:val="18"/>
                <w:szCs w:val="18"/>
                <w:lang w:val="en-GB"/>
              </w:rPr>
            </w:pPr>
            <w:r w:rsidRPr="10E807B4">
              <w:rPr>
                <w:rFonts w:ascii="Times New Roman" w:hAnsi="Times New Roman"/>
                <w:sz w:val="18"/>
                <w:szCs w:val="18"/>
                <w:lang w:val="en-GB"/>
              </w:rPr>
              <w:t>Scheduling interval [ms]</w:t>
            </w:r>
          </w:p>
        </w:tc>
        <w:tc>
          <w:tcPr>
            <w:tcW w:w="1127" w:type="dxa"/>
            <w:tcBorders>
              <w:top w:val="single" w:sz="4" w:space="0" w:color="auto"/>
              <w:left w:val="single" w:sz="4" w:space="0" w:color="auto"/>
              <w:bottom w:val="single" w:sz="4" w:space="0" w:color="auto"/>
              <w:right w:val="single" w:sz="4" w:space="0" w:color="auto"/>
            </w:tcBorders>
            <w:hideMark/>
          </w:tcPr>
          <w:p w14:paraId="74CB525F" w14:textId="77777777" w:rsidR="00FB22D7" w:rsidRDefault="3E61DC49" w:rsidP="3E61DC49">
            <w:pPr>
              <w:pStyle w:val="00BodyText"/>
              <w:spacing w:after="0"/>
              <w:rPr>
                <w:rFonts w:ascii="Times New Roman" w:hAnsi="Times New Roman"/>
                <w:sz w:val="18"/>
                <w:szCs w:val="18"/>
                <w:lang w:val="en-GB"/>
              </w:rPr>
            </w:pPr>
            <w:r w:rsidRPr="3E61DC49">
              <w:rPr>
                <w:rFonts w:ascii="Times New Roman" w:hAnsi="Times New Roman"/>
                <w:sz w:val="18"/>
                <w:szCs w:val="18"/>
                <w:lang w:val="en-GB"/>
              </w:rPr>
              <w:t>AL: 1 slot</w:t>
            </w:r>
          </w:p>
        </w:tc>
        <w:tc>
          <w:tcPr>
            <w:tcW w:w="65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723F2DC" w14:textId="77777777" w:rsidR="00FB22D7" w:rsidRDefault="10E807B4" w:rsidP="10E807B4">
            <w:pPr>
              <w:pStyle w:val="00BodyText"/>
              <w:spacing w:after="0"/>
              <w:jc w:val="center"/>
              <w:rPr>
                <w:rFonts w:ascii="Times New Roman" w:hAnsi="Times New Roman"/>
                <w:sz w:val="18"/>
                <w:szCs w:val="18"/>
                <w:lang w:val="en-GB"/>
              </w:rPr>
            </w:pPr>
            <w:r w:rsidRPr="10E807B4">
              <w:rPr>
                <w:rFonts w:ascii="Times New Roman" w:hAnsi="Times New Roman"/>
                <w:sz w:val="18"/>
                <w:szCs w:val="18"/>
                <w:lang w:val="en-GB"/>
              </w:rPr>
              <w:t>1</w:t>
            </w:r>
          </w:p>
        </w:tc>
        <w:tc>
          <w:tcPr>
            <w:tcW w:w="802" w:type="dxa"/>
            <w:tcBorders>
              <w:top w:val="single" w:sz="4" w:space="0" w:color="auto"/>
              <w:left w:val="single" w:sz="4" w:space="0" w:color="auto"/>
              <w:bottom w:val="single" w:sz="4" w:space="0" w:color="auto"/>
              <w:right w:val="single" w:sz="4" w:space="0" w:color="auto"/>
            </w:tcBorders>
            <w:hideMark/>
          </w:tcPr>
          <w:p w14:paraId="7928AE92" w14:textId="77777777" w:rsidR="00FB22D7" w:rsidRDefault="10E807B4" w:rsidP="10E807B4">
            <w:pPr>
              <w:pStyle w:val="00BodyText"/>
              <w:spacing w:after="0"/>
              <w:jc w:val="center"/>
              <w:rPr>
                <w:rFonts w:ascii="Times New Roman" w:hAnsi="Times New Roman"/>
                <w:sz w:val="18"/>
                <w:szCs w:val="18"/>
                <w:lang w:val="en-GB"/>
              </w:rPr>
            </w:pPr>
            <w:r w:rsidRPr="10E807B4">
              <w:rPr>
                <w:rFonts w:ascii="Times New Roman" w:hAnsi="Times New Roman"/>
                <w:sz w:val="18"/>
                <w:szCs w:val="18"/>
                <w:lang w:val="en-GB"/>
              </w:rPr>
              <w:t>0.5</w:t>
            </w:r>
          </w:p>
        </w:tc>
        <w:tc>
          <w:tcPr>
            <w:tcW w:w="85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8BE1046" w14:textId="77777777" w:rsidR="00FB22D7" w:rsidRDefault="10E807B4" w:rsidP="10E807B4">
            <w:pPr>
              <w:pStyle w:val="00BodyText"/>
              <w:spacing w:after="0"/>
              <w:jc w:val="center"/>
              <w:rPr>
                <w:rFonts w:ascii="Times New Roman" w:hAnsi="Times New Roman"/>
                <w:sz w:val="18"/>
                <w:szCs w:val="18"/>
                <w:lang w:val="en-GB"/>
              </w:rPr>
            </w:pPr>
            <w:r w:rsidRPr="10E807B4">
              <w:rPr>
                <w:rFonts w:ascii="Times New Roman" w:hAnsi="Times New Roman"/>
                <w:sz w:val="18"/>
                <w:szCs w:val="18"/>
                <w:lang w:val="en-GB"/>
              </w:rPr>
              <w:t>0.25</w:t>
            </w:r>
          </w:p>
        </w:tc>
        <w:tc>
          <w:tcPr>
            <w:tcW w:w="866" w:type="dxa"/>
            <w:tcBorders>
              <w:top w:val="single" w:sz="4" w:space="0" w:color="auto"/>
              <w:left w:val="single" w:sz="4" w:space="0" w:color="auto"/>
              <w:bottom w:val="single" w:sz="4" w:space="0" w:color="auto"/>
              <w:right w:val="single" w:sz="4" w:space="0" w:color="auto"/>
            </w:tcBorders>
            <w:hideMark/>
          </w:tcPr>
          <w:p w14:paraId="1E832360" w14:textId="77777777" w:rsidR="00FB22D7" w:rsidRDefault="10E807B4" w:rsidP="10E807B4">
            <w:pPr>
              <w:pStyle w:val="00BodyText"/>
              <w:spacing w:after="0"/>
              <w:jc w:val="center"/>
              <w:rPr>
                <w:rFonts w:ascii="Times New Roman" w:hAnsi="Times New Roman"/>
                <w:color w:val="FF0000"/>
                <w:sz w:val="18"/>
                <w:szCs w:val="18"/>
                <w:lang w:val="en-GB"/>
              </w:rPr>
            </w:pPr>
            <w:r w:rsidRPr="10E807B4">
              <w:rPr>
                <w:rFonts w:ascii="Times New Roman" w:hAnsi="Times New Roman"/>
                <w:color w:val="FF0000"/>
                <w:sz w:val="18"/>
                <w:szCs w:val="18"/>
                <w:lang w:val="en-GB"/>
              </w:rPr>
              <w:t>0.125</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7F0DA77" w14:textId="77777777" w:rsidR="00FB22D7" w:rsidRDefault="10E807B4" w:rsidP="10E807B4">
            <w:pPr>
              <w:pStyle w:val="00BodyText"/>
              <w:spacing w:after="0"/>
              <w:jc w:val="center"/>
              <w:rPr>
                <w:rFonts w:ascii="Times New Roman" w:hAnsi="Times New Roman"/>
                <w:color w:val="FF0000"/>
                <w:sz w:val="18"/>
                <w:szCs w:val="18"/>
                <w:lang w:val="en-GB"/>
              </w:rPr>
            </w:pPr>
            <w:r w:rsidRPr="10E807B4">
              <w:rPr>
                <w:rFonts w:ascii="Times New Roman" w:hAnsi="Times New Roman"/>
                <w:color w:val="FF0000"/>
                <w:sz w:val="18"/>
                <w:szCs w:val="18"/>
                <w:lang w:val="en-GB"/>
              </w:rPr>
              <w:t>0.0625</w:t>
            </w:r>
          </w:p>
        </w:tc>
      </w:tr>
      <w:tr w:rsidR="00FB22D7" w14:paraId="1CCCCFC3" w14:textId="77777777" w:rsidTr="10E807B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C99D67" w14:textId="77777777" w:rsidR="00FB22D7" w:rsidRDefault="00FB22D7" w:rsidP="00C95609">
            <w:pPr>
              <w:spacing w:after="0"/>
              <w:rPr>
                <w:rFonts w:eastAsiaTheme="minorHAnsi" w:cstheme="minorBidi"/>
                <w:sz w:val="18"/>
                <w:szCs w:val="18"/>
              </w:rPr>
            </w:pPr>
          </w:p>
        </w:tc>
        <w:tc>
          <w:tcPr>
            <w:tcW w:w="1127" w:type="dxa"/>
            <w:tcBorders>
              <w:top w:val="single" w:sz="4" w:space="0" w:color="auto"/>
              <w:left w:val="single" w:sz="4" w:space="0" w:color="auto"/>
              <w:bottom w:val="single" w:sz="4" w:space="0" w:color="auto"/>
              <w:right w:val="single" w:sz="4" w:space="0" w:color="auto"/>
            </w:tcBorders>
            <w:hideMark/>
          </w:tcPr>
          <w:p w14:paraId="78A861D7" w14:textId="77777777" w:rsidR="00FB22D7" w:rsidRDefault="3E61DC49" w:rsidP="3E61DC49">
            <w:pPr>
              <w:pStyle w:val="00BodyText"/>
              <w:spacing w:after="0"/>
              <w:rPr>
                <w:rFonts w:ascii="Times New Roman" w:hAnsi="Times New Roman"/>
                <w:sz w:val="18"/>
                <w:szCs w:val="18"/>
                <w:lang w:val="en-GB"/>
              </w:rPr>
            </w:pPr>
            <w:r w:rsidRPr="3E61DC49">
              <w:rPr>
                <w:rFonts w:ascii="Times New Roman" w:hAnsi="Times New Roman"/>
                <w:sz w:val="18"/>
                <w:szCs w:val="18"/>
                <w:lang w:val="en-GB"/>
              </w:rPr>
              <w:t>AL: 2 slots</w:t>
            </w:r>
          </w:p>
        </w:tc>
        <w:tc>
          <w:tcPr>
            <w:tcW w:w="65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EBE64BF" w14:textId="77777777" w:rsidR="00FB22D7" w:rsidRDefault="10E807B4" w:rsidP="10E807B4">
            <w:pPr>
              <w:pStyle w:val="00BodyText"/>
              <w:spacing w:after="0"/>
              <w:jc w:val="center"/>
              <w:rPr>
                <w:rFonts w:ascii="Times New Roman" w:hAnsi="Times New Roman"/>
                <w:sz w:val="18"/>
                <w:szCs w:val="18"/>
                <w:lang w:val="en-GB"/>
              </w:rPr>
            </w:pPr>
            <w:r w:rsidRPr="10E807B4">
              <w:rPr>
                <w:rFonts w:ascii="Times New Roman" w:hAnsi="Times New Roman"/>
                <w:sz w:val="18"/>
                <w:szCs w:val="18"/>
                <w:lang w:val="en-GB"/>
              </w:rPr>
              <w:t>2</w:t>
            </w:r>
          </w:p>
        </w:tc>
        <w:tc>
          <w:tcPr>
            <w:tcW w:w="802" w:type="dxa"/>
            <w:tcBorders>
              <w:top w:val="single" w:sz="4" w:space="0" w:color="auto"/>
              <w:left w:val="single" w:sz="4" w:space="0" w:color="auto"/>
              <w:bottom w:val="single" w:sz="4" w:space="0" w:color="auto"/>
              <w:right w:val="single" w:sz="4" w:space="0" w:color="auto"/>
            </w:tcBorders>
            <w:hideMark/>
          </w:tcPr>
          <w:p w14:paraId="192BE61B" w14:textId="77777777" w:rsidR="00FB22D7" w:rsidRDefault="10E807B4" w:rsidP="10E807B4">
            <w:pPr>
              <w:pStyle w:val="00BodyText"/>
              <w:spacing w:after="0"/>
              <w:jc w:val="center"/>
              <w:rPr>
                <w:rFonts w:ascii="Times New Roman" w:hAnsi="Times New Roman"/>
                <w:sz w:val="18"/>
                <w:szCs w:val="18"/>
                <w:lang w:val="en-GB"/>
              </w:rPr>
            </w:pPr>
            <w:r w:rsidRPr="10E807B4">
              <w:rPr>
                <w:rFonts w:ascii="Times New Roman" w:hAnsi="Times New Roman"/>
                <w:sz w:val="18"/>
                <w:szCs w:val="18"/>
                <w:lang w:val="en-GB"/>
              </w:rPr>
              <w:t>1</w:t>
            </w:r>
          </w:p>
        </w:tc>
        <w:tc>
          <w:tcPr>
            <w:tcW w:w="85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42750E2" w14:textId="77777777" w:rsidR="00FB22D7" w:rsidRDefault="10E807B4" w:rsidP="10E807B4">
            <w:pPr>
              <w:pStyle w:val="00BodyText"/>
              <w:spacing w:after="0"/>
              <w:jc w:val="center"/>
              <w:rPr>
                <w:rFonts w:ascii="Times New Roman" w:hAnsi="Times New Roman"/>
                <w:sz w:val="18"/>
                <w:szCs w:val="18"/>
                <w:lang w:val="en-GB"/>
              </w:rPr>
            </w:pPr>
            <w:r w:rsidRPr="10E807B4">
              <w:rPr>
                <w:rFonts w:ascii="Times New Roman" w:hAnsi="Times New Roman"/>
                <w:sz w:val="18"/>
                <w:szCs w:val="18"/>
                <w:lang w:val="en-GB"/>
              </w:rPr>
              <w:t>0.5</w:t>
            </w:r>
          </w:p>
        </w:tc>
        <w:tc>
          <w:tcPr>
            <w:tcW w:w="866" w:type="dxa"/>
            <w:tcBorders>
              <w:top w:val="single" w:sz="4" w:space="0" w:color="auto"/>
              <w:left w:val="single" w:sz="4" w:space="0" w:color="auto"/>
              <w:bottom w:val="single" w:sz="4" w:space="0" w:color="auto"/>
              <w:right w:val="single" w:sz="4" w:space="0" w:color="auto"/>
            </w:tcBorders>
            <w:hideMark/>
          </w:tcPr>
          <w:p w14:paraId="3356B4FC" w14:textId="77777777" w:rsidR="00FB22D7" w:rsidRDefault="10E807B4" w:rsidP="10E807B4">
            <w:pPr>
              <w:pStyle w:val="00BodyText"/>
              <w:spacing w:after="0"/>
              <w:jc w:val="center"/>
              <w:rPr>
                <w:rFonts w:ascii="Times New Roman" w:hAnsi="Times New Roman"/>
                <w:sz w:val="18"/>
                <w:szCs w:val="18"/>
                <w:lang w:val="en-GB"/>
              </w:rPr>
            </w:pPr>
            <w:r w:rsidRPr="10E807B4">
              <w:rPr>
                <w:rFonts w:ascii="Times New Roman" w:hAnsi="Times New Roman"/>
                <w:sz w:val="18"/>
                <w:szCs w:val="18"/>
                <w:lang w:val="en-GB"/>
              </w:rPr>
              <w:t>0.25</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069FAF2" w14:textId="77777777" w:rsidR="00FB22D7" w:rsidRDefault="10E807B4" w:rsidP="10E807B4">
            <w:pPr>
              <w:pStyle w:val="00BodyText"/>
              <w:spacing w:after="0"/>
              <w:jc w:val="center"/>
              <w:rPr>
                <w:rFonts w:ascii="Times New Roman" w:hAnsi="Times New Roman"/>
                <w:sz w:val="18"/>
                <w:szCs w:val="18"/>
                <w:lang w:val="en-GB"/>
              </w:rPr>
            </w:pPr>
            <w:r w:rsidRPr="10E807B4">
              <w:rPr>
                <w:rFonts w:ascii="Times New Roman" w:hAnsi="Times New Roman"/>
                <w:sz w:val="18"/>
                <w:szCs w:val="18"/>
                <w:lang w:val="en-GB"/>
              </w:rPr>
              <w:t>0.125</w:t>
            </w:r>
          </w:p>
        </w:tc>
      </w:tr>
      <w:tr w:rsidR="00FB22D7" w14:paraId="7F584A18" w14:textId="77777777" w:rsidTr="10E807B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B2801" w14:textId="77777777" w:rsidR="00FB22D7" w:rsidRDefault="00FB22D7" w:rsidP="00C95609">
            <w:pPr>
              <w:spacing w:after="0"/>
              <w:rPr>
                <w:rFonts w:eastAsiaTheme="minorHAnsi" w:cstheme="minorBidi"/>
                <w:sz w:val="18"/>
                <w:szCs w:val="18"/>
              </w:rPr>
            </w:pPr>
          </w:p>
        </w:tc>
        <w:tc>
          <w:tcPr>
            <w:tcW w:w="1127" w:type="dxa"/>
            <w:tcBorders>
              <w:top w:val="single" w:sz="4" w:space="0" w:color="auto"/>
              <w:left w:val="single" w:sz="4" w:space="0" w:color="auto"/>
              <w:bottom w:val="single" w:sz="4" w:space="0" w:color="auto"/>
              <w:right w:val="single" w:sz="4" w:space="0" w:color="auto"/>
            </w:tcBorders>
            <w:hideMark/>
          </w:tcPr>
          <w:p w14:paraId="764AA918" w14:textId="77777777" w:rsidR="00FB22D7" w:rsidRDefault="3E61DC49" w:rsidP="3E61DC49">
            <w:pPr>
              <w:pStyle w:val="00BodyText"/>
              <w:spacing w:after="0"/>
              <w:rPr>
                <w:rFonts w:ascii="Times New Roman" w:hAnsi="Times New Roman"/>
                <w:sz w:val="18"/>
                <w:szCs w:val="18"/>
                <w:lang w:val="en-GB"/>
              </w:rPr>
            </w:pPr>
            <w:r w:rsidRPr="3E61DC49">
              <w:rPr>
                <w:rFonts w:ascii="Times New Roman" w:hAnsi="Times New Roman"/>
                <w:sz w:val="18"/>
                <w:szCs w:val="18"/>
                <w:lang w:val="en-GB"/>
              </w:rPr>
              <w:t>AL: 4 slots</w:t>
            </w:r>
          </w:p>
        </w:tc>
        <w:tc>
          <w:tcPr>
            <w:tcW w:w="65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945EBF1" w14:textId="77777777" w:rsidR="00FB22D7" w:rsidRDefault="10E807B4" w:rsidP="10E807B4">
            <w:pPr>
              <w:pStyle w:val="00BodyText"/>
              <w:spacing w:after="0"/>
              <w:jc w:val="center"/>
              <w:rPr>
                <w:rFonts w:ascii="Times New Roman" w:hAnsi="Times New Roman"/>
                <w:sz w:val="18"/>
                <w:szCs w:val="18"/>
                <w:lang w:val="en-GB"/>
              </w:rPr>
            </w:pPr>
            <w:r w:rsidRPr="10E807B4">
              <w:rPr>
                <w:rFonts w:ascii="Times New Roman" w:hAnsi="Times New Roman"/>
                <w:sz w:val="18"/>
                <w:szCs w:val="18"/>
                <w:lang w:val="en-GB"/>
              </w:rPr>
              <w:t>4</w:t>
            </w:r>
          </w:p>
        </w:tc>
        <w:tc>
          <w:tcPr>
            <w:tcW w:w="802" w:type="dxa"/>
            <w:tcBorders>
              <w:top w:val="single" w:sz="4" w:space="0" w:color="auto"/>
              <w:left w:val="single" w:sz="4" w:space="0" w:color="auto"/>
              <w:bottom w:val="single" w:sz="4" w:space="0" w:color="auto"/>
              <w:right w:val="single" w:sz="4" w:space="0" w:color="auto"/>
            </w:tcBorders>
            <w:hideMark/>
          </w:tcPr>
          <w:p w14:paraId="7A793784" w14:textId="77777777" w:rsidR="00FB22D7" w:rsidRDefault="10E807B4" w:rsidP="10E807B4">
            <w:pPr>
              <w:pStyle w:val="00BodyText"/>
              <w:spacing w:after="0"/>
              <w:jc w:val="center"/>
              <w:rPr>
                <w:rFonts w:ascii="Times New Roman" w:hAnsi="Times New Roman"/>
                <w:sz w:val="18"/>
                <w:szCs w:val="18"/>
                <w:lang w:val="en-GB"/>
              </w:rPr>
            </w:pPr>
            <w:r w:rsidRPr="10E807B4">
              <w:rPr>
                <w:rFonts w:ascii="Times New Roman" w:hAnsi="Times New Roman"/>
                <w:sz w:val="18"/>
                <w:szCs w:val="18"/>
                <w:lang w:val="en-GB"/>
              </w:rPr>
              <w:t>2</w:t>
            </w:r>
          </w:p>
        </w:tc>
        <w:tc>
          <w:tcPr>
            <w:tcW w:w="85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753C149" w14:textId="77777777" w:rsidR="00FB22D7" w:rsidRDefault="10E807B4" w:rsidP="10E807B4">
            <w:pPr>
              <w:pStyle w:val="00BodyText"/>
              <w:spacing w:after="0"/>
              <w:jc w:val="center"/>
              <w:rPr>
                <w:rFonts w:ascii="Times New Roman" w:hAnsi="Times New Roman"/>
                <w:sz w:val="18"/>
                <w:szCs w:val="18"/>
                <w:lang w:val="en-GB"/>
              </w:rPr>
            </w:pPr>
            <w:r w:rsidRPr="10E807B4">
              <w:rPr>
                <w:rFonts w:ascii="Times New Roman" w:hAnsi="Times New Roman"/>
                <w:sz w:val="18"/>
                <w:szCs w:val="18"/>
                <w:lang w:val="en-GB"/>
              </w:rPr>
              <w:t>1</w:t>
            </w:r>
          </w:p>
        </w:tc>
        <w:tc>
          <w:tcPr>
            <w:tcW w:w="866" w:type="dxa"/>
            <w:tcBorders>
              <w:top w:val="single" w:sz="4" w:space="0" w:color="auto"/>
              <w:left w:val="single" w:sz="4" w:space="0" w:color="auto"/>
              <w:bottom w:val="single" w:sz="4" w:space="0" w:color="auto"/>
              <w:right w:val="single" w:sz="4" w:space="0" w:color="auto"/>
            </w:tcBorders>
            <w:hideMark/>
          </w:tcPr>
          <w:p w14:paraId="032ACA97" w14:textId="77777777" w:rsidR="00FB22D7" w:rsidRDefault="10E807B4" w:rsidP="10E807B4">
            <w:pPr>
              <w:pStyle w:val="00BodyText"/>
              <w:spacing w:after="0"/>
              <w:jc w:val="center"/>
              <w:rPr>
                <w:rFonts w:ascii="Times New Roman" w:hAnsi="Times New Roman"/>
                <w:sz w:val="18"/>
                <w:szCs w:val="18"/>
                <w:lang w:val="en-GB"/>
              </w:rPr>
            </w:pPr>
            <w:r w:rsidRPr="10E807B4">
              <w:rPr>
                <w:rFonts w:ascii="Times New Roman" w:hAnsi="Times New Roman"/>
                <w:sz w:val="18"/>
                <w:szCs w:val="18"/>
                <w:lang w:val="en-GB"/>
              </w:rPr>
              <w:t>0.5</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BAAB7C2" w14:textId="77777777" w:rsidR="00FB22D7" w:rsidRDefault="10E807B4" w:rsidP="10E807B4">
            <w:pPr>
              <w:pStyle w:val="00BodyText"/>
              <w:spacing w:after="0"/>
              <w:jc w:val="center"/>
              <w:rPr>
                <w:rFonts w:ascii="Times New Roman" w:hAnsi="Times New Roman"/>
                <w:sz w:val="18"/>
                <w:szCs w:val="18"/>
                <w:lang w:val="en-GB"/>
              </w:rPr>
            </w:pPr>
            <w:r w:rsidRPr="10E807B4">
              <w:rPr>
                <w:rFonts w:ascii="Times New Roman" w:hAnsi="Times New Roman"/>
                <w:sz w:val="18"/>
                <w:szCs w:val="18"/>
                <w:lang w:val="en-GB"/>
              </w:rPr>
              <w:t>0.25</w:t>
            </w:r>
          </w:p>
        </w:tc>
      </w:tr>
      <w:tr w:rsidR="00FB22D7" w14:paraId="7FBA63AA" w14:textId="77777777" w:rsidTr="10E807B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F6989" w14:textId="77777777" w:rsidR="00FB22D7" w:rsidRDefault="00FB22D7" w:rsidP="00C95609">
            <w:pPr>
              <w:spacing w:after="0"/>
              <w:rPr>
                <w:rFonts w:eastAsiaTheme="minorHAnsi" w:cstheme="minorBidi"/>
                <w:sz w:val="18"/>
                <w:szCs w:val="18"/>
              </w:rPr>
            </w:pPr>
          </w:p>
        </w:tc>
        <w:tc>
          <w:tcPr>
            <w:tcW w:w="1127" w:type="dxa"/>
            <w:tcBorders>
              <w:top w:val="single" w:sz="4" w:space="0" w:color="auto"/>
              <w:left w:val="single" w:sz="4" w:space="0" w:color="auto"/>
              <w:bottom w:val="single" w:sz="4" w:space="0" w:color="auto"/>
              <w:right w:val="single" w:sz="4" w:space="0" w:color="auto"/>
            </w:tcBorders>
            <w:hideMark/>
          </w:tcPr>
          <w:p w14:paraId="45209F7C" w14:textId="77777777" w:rsidR="00FB22D7" w:rsidRDefault="3E61DC49" w:rsidP="3E61DC49">
            <w:pPr>
              <w:pStyle w:val="00BodyText"/>
              <w:spacing w:after="0"/>
              <w:rPr>
                <w:rFonts w:ascii="Times New Roman" w:hAnsi="Times New Roman"/>
                <w:sz w:val="18"/>
                <w:szCs w:val="18"/>
                <w:lang w:val="en-GB"/>
              </w:rPr>
            </w:pPr>
            <w:r w:rsidRPr="3E61DC49">
              <w:rPr>
                <w:rFonts w:ascii="Times New Roman" w:hAnsi="Times New Roman"/>
                <w:sz w:val="18"/>
                <w:szCs w:val="18"/>
                <w:lang w:val="en-GB"/>
              </w:rPr>
              <w:t>AL: 8 slots</w:t>
            </w:r>
          </w:p>
        </w:tc>
        <w:tc>
          <w:tcPr>
            <w:tcW w:w="65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F93357C" w14:textId="77777777" w:rsidR="00FB22D7" w:rsidRDefault="10E807B4" w:rsidP="10E807B4">
            <w:pPr>
              <w:pStyle w:val="00BodyText"/>
              <w:spacing w:after="0"/>
              <w:jc w:val="center"/>
              <w:rPr>
                <w:rFonts w:ascii="Times New Roman" w:hAnsi="Times New Roman"/>
                <w:sz w:val="18"/>
                <w:szCs w:val="18"/>
                <w:lang w:val="en-GB"/>
              </w:rPr>
            </w:pPr>
            <w:r w:rsidRPr="10E807B4">
              <w:rPr>
                <w:rFonts w:ascii="Times New Roman" w:hAnsi="Times New Roman"/>
                <w:sz w:val="18"/>
                <w:szCs w:val="18"/>
                <w:lang w:val="en-GB"/>
              </w:rPr>
              <w:t>8</w:t>
            </w:r>
          </w:p>
        </w:tc>
        <w:tc>
          <w:tcPr>
            <w:tcW w:w="802" w:type="dxa"/>
            <w:tcBorders>
              <w:top w:val="single" w:sz="4" w:space="0" w:color="auto"/>
              <w:left w:val="single" w:sz="4" w:space="0" w:color="auto"/>
              <w:bottom w:val="single" w:sz="4" w:space="0" w:color="auto"/>
              <w:right w:val="single" w:sz="4" w:space="0" w:color="auto"/>
            </w:tcBorders>
            <w:hideMark/>
          </w:tcPr>
          <w:p w14:paraId="1D779CEE" w14:textId="77777777" w:rsidR="00FB22D7" w:rsidRDefault="10E807B4" w:rsidP="10E807B4">
            <w:pPr>
              <w:pStyle w:val="00BodyText"/>
              <w:spacing w:after="0"/>
              <w:jc w:val="center"/>
              <w:rPr>
                <w:rFonts w:ascii="Times New Roman" w:hAnsi="Times New Roman"/>
                <w:sz w:val="18"/>
                <w:szCs w:val="18"/>
                <w:lang w:val="en-GB"/>
              </w:rPr>
            </w:pPr>
            <w:r w:rsidRPr="10E807B4">
              <w:rPr>
                <w:rFonts w:ascii="Times New Roman" w:hAnsi="Times New Roman"/>
                <w:sz w:val="18"/>
                <w:szCs w:val="18"/>
                <w:lang w:val="en-GB"/>
              </w:rPr>
              <w:t>4</w:t>
            </w:r>
          </w:p>
        </w:tc>
        <w:tc>
          <w:tcPr>
            <w:tcW w:w="85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0CC29DC" w14:textId="77777777" w:rsidR="00FB22D7" w:rsidRDefault="10E807B4" w:rsidP="10E807B4">
            <w:pPr>
              <w:pStyle w:val="00BodyText"/>
              <w:spacing w:after="0"/>
              <w:jc w:val="center"/>
              <w:rPr>
                <w:rFonts w:ascii="Times New Roman" w:hAnsi="Times New Roman"/>
                <w:sz w:val="18"/>
                <w:szCs w:val="18"/>
                <w:lang w:val="en-GB"/>
              </w:rPr>
            </w:pPr>
            <w:r w:rsidRPr="10E807B4">
              <w:rPr>
                <w:rFonts w:ascii="Times New Roman" w:hAnsi="Times New Roman"/>
                <w:sz w:val="18"/>
                <w:szCs w:val="18"/>
                <w:lang w:val="en-GB"/>
              </w:rPr>
              <w:t>2</w:t>
            </w:r>
          </w:p>
        </w:tc>
        <w:tc>
          <w:tcPr>
            <w:tcW w:w="866" w:type="dxa"/>
            <w:tcBorders>
              <w:top w:val="single" w:sz="4" w:space="0" w:color="auto"/>
              <w:left w:val="single" w:sz="4" w:space="0" w:color="auto"/>
              <w:bottom w:val="single" w:sz="4" w:space="0" w:color="auto"/>
              <w:right w:val="single" w:sz="4" w:space="0" w:color="auto"/>
            </w:tcBorders>
            <w:hideMark/>
          </w:tcPr>
          <w:p w14:paraId="036E96C5" w14:textId="77777777" w:rsidR="00FB22D7" w:rsidRDefault="10E807B4" w:rsidP="10E807B4">
            <w:pPr>
              <w:pStyle w:val="00BodyText"/>
              <w:spacing w:after="0"/>
              <w:jc w:val="center"/>
              <w:rPr>
                <w:rFonts w:ascii="Times New Roman" w:hAnsi="Times New Roman"/>
                <w:sz w:val="18"/>
                <w:szCs w:val="18"/>
                <w:lang w:val="en-GB"/>
              </w:rPr>
            </w:pPr>
            <w:r w:rsidRPr="10E807B4">
              <w:rPr>
                <w:rFonts w:ascii="Times New Roman" w:hAnsi="Times New Roman"/>
                <w:sz w:val="18"/>
                <w:szCs w:val="18"/>
                <w:lang w:val="en-GB"/>
              </w:rPr>
              <w:t>1</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49ABFBC" w14:textId="77777777" w:rsidR="00FB22D7" w:rsidRDefault="10E807B4" w:rsidP="10E807B4">
            <w:pPr>
              <w:pStyle w:val="00BodyText"/>
              <w:spacing w:after="0"/>
              <w:jc w:val="center"/>
              <w:rPr>
                <w:rFonts w:ascii="Times New Roman" w:hAnsi="Times New Roman"/>
                <w:sz w:val="18"/>
                <w:szCs w:val="18"/>
                <w:lang w:val="en-GB"/>
              </w:rPr>
            </w:pPr>
            <w:r w:rsidRPr="10E807B4">
              <w:rPr>
                <w:rFonts w:ascii="Times New Roman" w:hAnsi="Times New Roman"/>
                <w:sz w:val="18"/>
                <w:szCs w:val="18"/>
                <w:lang w:val="en-GB"/>
              </w:rPr>
              <w:t>0.5</w:t>
            </w:r>
          </w:p>
        </w:tc>
      </w:tr>
      <w:tr w:rsidR="00FB22D7" w14:paraId="3A4B7822" w14:textId="77777777" w:rsidTr="10E807B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8E5ED4" w14:textId="77777777" w:rsidR="00FB22D7" w:rsidRDefault="00FB22D7" w:rsidP="00C95609">
            <w:pPr>
              <w:spacing w:after="0"/>
              <w:rPr>
                <w:rFonts w:eastAsiaTheme="minorHAnsi" w:cstheme="minorBidi"/>
                <w:sz w:val="18"/>
                <w:szCs w:val="18"/>
              </w:rPr>
            </w:pPr>
          </w:p>
        </w:tc>
        <w:tc>
          <w:tcPr>
            <w:tcW w:w="1127" w:type="dxa"/>
            <w:tcBorders>
              <w:top w:val="single" w:sz="4" w:space="0" w:color="auto"/>
              <w:left w:val="single" w:sz="4" w:space="0" w:color="auto"/>
              <w:bottom w:val="single" w:sz="4" w:space="0" w:color="auto"/>
              <w:right w:val="single" w:sz="4" w:space="0" w:color="auto"/>
            </w:tcBorders>
            <w:hideMark/>
          </w:tcPr>
          <w:p w14:paraId="6CD8BE69" w14:textId="77777777" w:rsidR="00FB22D7" w:rsidRDefault="3E61DC49" w:rsidP="3E61DC49">
            <w:pPr>
              <w:pStyle w:val="00BodyText"/>
              <w:spacing w:after="0"/>
              <w:rPr>
                <w:rFonts w:ascii="Times New Roman" w:hAnsi="Times New Roman"/>
                <w:sz w:val="18"/>
                <w:szCs w:val="18"/>
                <w:lang w:val="en-GB"/>
              </w:rPr>
            </w:pPr>
            <w:r w:rsidRPr="3E61DC49">
              <w:rPr>
                <w:rFonts w:ascii="Times New Roman" w:hAnsi="Times New Roman"/>
                <w:sz w:val="18"/>
                <w:szCs w:val="18"/>
                <w:lang w:val="en-GB"/>
              </w:rPr>
              <w:t>AL: 16 slots</w:t>
            </w:r>
          </w:p>
        </w:tc>
        <w:tc>
          <w:tcPr>
            <w:tcW w:w="65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20DA25A" w14:textId="77777777" w:rsidR="00FB22D7" w:rsidRDefault="10E807B4" w:rsidP="10E807B4">
            <w:pPr>
              <w:pStyle w:val="00BodyText"/>
              <w:spacing w:after="0"/>
              <w:jc w:val="center"/>
              <w:rPr>
                <w:rFonts w:ascii="Times New Roman" w:hAnsi="Times New Roman"/>
                <w:sz w:val="18"/>
                <w:szCs w:val="18"/>
                <w:lang w:val="en-GB"/>
              </w:rPr>
            </w:pPr>
            <w:r w:rsidRPr="10E807B4">
              <w:rPr>
                <w:rFonts w:ascii="Times New Roman" w:hAnsi="Times New Roman"/>
                <w:sz w:val="18"/>
                <w:szCs w:val="18"/>
                <w:lang w:val="en-GB"/>
              </w:rPr>
              <w:t>16</w:t>
            </w:r>
          </w:p>
        </w:tc>
        <w:tc>
          <w:tcPr>
            <w:tcW w:w="802" w:type="dxa"/>
            <w:tcBorders>
              <w:top w:val="single" w:sz="4" w:space="0" w:color="auto"/>
              <w:left w:val="single" w:sz="4" w:space="0" w:color="auto"/>
              <w:bottom w:val="single" w:sz="4" w:space="0" w:color="auto"/>
              <w:right w:val="single" w:sz="4" w:space="0" w:color="auto"/>
            </w:tcBorders>
            <w:hideMark/>
          </w:tcPr>
          <w:p w14:paraId="701A3939" w14:textId="77777777" w:rsidR="00FB22D7" w:rsidRDefault="10E807B4" w:rsidP="10E807B4">
            <w:pPr>
              <w:pStyle w:val="00BodyText"/>
              <w:spacing w:after="0"/>
              <w:jc w:val="center"/>
              <w:rPr>
                <w:rFonts w:ascii="Times New Roman" w:hAnsi="Times New Roman"/>
                <w:sz w:val="18"/>
                <w:szCs w:val="18"/>
                <w:lang w:val="en-GB"/>
              </w:rPr>
            </w:pPr>
            <w:r w:rsidRPr="10E807B4">
              <w:rPr>
                <w:rFonts w:ascii="Times New Roman" w:hAnsi="Times New Roman"/>
                <w:sz w:val="18"/>
                <w:szCs w:val="18"/>
                <w:lang w:val="en-GB"/>
              </w:rPr>
              <w:t>8</w:t>
            </w:r>
          </w:p>
        </w:tc>
        <w:tc>
          <w:tcPr>
            <w:tcW w:w="85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9123A71" w14:textId="77777777" w:rsidR="00FB22D7" w:rsidRDefault="10E807B4" w:rsidP="10E807B4">
            <w:pPr>
              <w:pStyle w:val="00BodyText"/>
              <w:spacing w:after="0"/>
              <w:jc w:val="center"/>
              <w:rPr>
                <w:rFonts w:ascii="Times New Roman" w:hAnsi="Times New Roman"/>
                <w:sz w:val="18"/>
                <w:szCs w:val="18"/>
                <w:lang w:val="en-GB"/>
              </w:rPr>
            </w:pPr>
            <w:r w:rsidRPr="10E807B4">
              <w:rPr>
                <w:rFonts w:ascii="Times New Roman" w:hAnsi="Times New Roman"/>
                <w:sz w:val="18"/>
                <w:szCs w:val="18"/>
                <w:lang w:val="en-GB"/>
              </w:rPr>
              <w:t>4</w:t>
            </w:r>
          </w:p>
        </w:tc>
        <w:tc>
          <w:tcPr>
            <w:tcW w:w="866" w:type="dxa"/>
            <w:tcBorders>
              <w:top w:val="single" w:sz="4" w:space="0" w:color="auto"/>
              <w:left w:val="single" w:sz="4" w:space="0" w:color="auto"/>
              <w:bottom w:val="single" w:sz="4" w:space="0" w:color="auto"/>
              <w:right w:val="single" w:sz="4" w:space="0" w:color="auto"/>
            </w:tcBorders>
            <w:hideMark/>
          </w:tcPr>
          <w:p w14:paraId="0B58C8E9" w14:textId="77777777" w:rsidR="00FB22D7" w:rsidRDefault="10E807B4" w:rsidP="10E807B4">
            <w:pPr>
              <w:pStyle w:val="00BodyText"/>
              <w:spacing w:after="0"/>
              <w:jc w:val="center"/>
              <w:rPr>
                <w:rFonts w:ascii="Times New Roman" w:hAnsi="Times New Roman"/>
                <w:sz w:val="18"/>
                <w:szCs w:val="18"/>
                <w:lang w:val="en-GB"/>
              </w:rPr>
            </w:pPr>
            <w:r w:rsidRPr="10E807B4">
              <w:rPr>
                <w:rFonts w:ascii="Times New Roman" w:hAnsi="Times New Roman"/>
                <w:sz w:val="18"/>
                <w:szCs w:val="18"/>
                <w:lang w:val="en-GB"/>
              </w:rPr>
              <w:t>2</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8204D89" w14:textId="77777777" w:rsidR="00FB22D7" w:rsidRDefault="10E807B4" w:rsidP="10E807B4">
            <w:pPr>
              <w:pStyle w:val="00BodyText"/>
              <w:spacing w:after="0"/>
              <w:jc w:val="center"/>
              <w:rPr>
                <w:rFonts w:ascii="Times New Roman" w:hAnsi="Times New Roman"/>
                <w:sz w:val="18"/>
                <w:szCs w:val="18"/>
                <w:lang w:val="en-GB"/>
              </w:rPr>
            </w:pPr>
            <w:r w:rsidRPr="10E807B4">
              <w:rPr>
                <w:rFonts w:ascii="Times New Roman" w:hAnsi="Times New Roman"/>
                <w:sz w:val="18"/>
                <w:szCs w:val="18"/>
                <w:lang w:val="en-GB"/>
              </w:rPr>
              <w:t>1</w:t>
            </w:r>
          </w:p>
        </w:tc>
      </w:tr>
    </w:tbl>
    <w:p w14:paraId="7C4C7163" w14:textId="77777777" w:rsidR="00FB22D7" w:rsidRDefault="00FB22D7" w:rsidP="00FB22D7">
      <w:pPr>
        <w:rPr>
          <w:rFonts w:asciiTheme="minorHAnsi" w:eastAsiaTheme="minorHAnsi" w:hAnsiTheme="minorHAnsi" w:cstheme="minorBidi"/>
          <w:sz w:val="22"/>
          <w:szCs w:val="22"/>
          <w:lang w:val="fi-FI"/>
        </w:rPr>
      </w:pPr>
    </w:p>
    <w:bookmarkEnd w:id="1"/>
    <w:bookmarkEnd w:id="2"/>
    <w:p w14:paraId="1BA6D648" w14:textId="77777777" w:rsidR="00FB22D7" w:rsidRDefault="3E61DC49" w:rsidP="00FB22D7">
      <w:pPr>
        <w:jc w:val="both"/>
      </w:pPr>
      <w:r>
        <w:t>If 240 kHz SCS is adopted, the shortest TDD UL/DL switching interval without aggregation of slots would be 62.5 us (16 kHz switch rate). If the current RAN4 agreement holds and 240 kHz is not introduced for data, then the shortest TDD DL/UL switching interval is 125 us (8 kHz switch rate) with 120 kHz SCS and 14-symbol slot.</w:t>
      </w:r>
    </w:p>
    <w:p w14:paraId="6A77509C" w14:textId="3B84F36B" w:rsidR="00FB22D7" w:rsidRPr="00C95609" w:rsidRDefault="3E61DC49" w:rsidP="00FB22D7">
      <w:pPr>
        <w:jc w:val="both"/>
        <w:rPr>
          <w:i/>
        </w:rPr>
      </w:pPr>
      <w:r w:rsidRPr="00C95609">
        <w:rPr>
          <w:b/>
          <w:bCs/>
          <w:i/>
        </w:rPr>
        <w:t xml:space="preserve">Proposal </w:t>
      </w:r>
      <w:r w:rsidR="00C95609" w:rsidRPr="00C95609">
        <w:rPr>
          <w:b/>
          <w:bCs/>
          <w:i/>
        </w:rPr>
        <w:t>9</w:t>
      </w:r>
      <w:r w:rsidRPr="00C95609">
        <w:rPr>
          <w:b/>
          <w:bCs/>
          <w:i/>
        </w:rPr>
        <w:t xml:space="preserve">: </w:t>
      </w:r>
      <w:r w:rsidRPr="00C95609">
        <w:rPr>
          <w:i/>
          <w:iCs/>
        </w:rPr>
        <w:t>In TDD operation, the maximum DL/UL switching rate is 8 kHz, and there is at most one DL/UL switch within a minimum scheduling interval for slot-based scheduling. I.e. if SCS of 240 kHz or higher is introduced, then slot aggregation is required.</w:t>
      </w:r>
      <w:r w:rsidRPr="00C95609">
        <w:rPr>
          <w:i/>
        </w:rPr>
        <w:t xml:space="preserve">  </w:t>
      </w:r>
    </w:p>
    <w:p w14:paraId="7E5C634F" w14:textId="77777777" w:rsidR="00FB22D7" w:rsidRPr="003524A1" w:rsidRDefault="3E61DC49" w:rsidP="00FB22D7">
      <w:pPr>
        <w:jc w:val="both"/>
      </w:pPr>
      <w:r>
        <w:t>In addition, it is also possible to support slot aggregation over multiple of the minimum scheduling interval, potentially with up to one DL/UL switching point in each minimum scheduling interval. However, the number of slots to aggregate should remain reasonable. E.g. aggregation level 16 with 14-symbol slot leads to 224 symbols in a scheduling unit. Such long durations may be beneficial for some special cases, e.g. extreme coverage, but in general cases lead to excessively large scheduling unit and reduced flexibility/efficiency in scheduling and not really justified with overhead reduction.</w:t>
      </w:r>
    </w:p>
    <w:p w14:paraId="395ACA75" w14:textId="289DC2AF" w:rsidR="00FB22D7" w:rsidRPr="00C95609" w:rsidRDefault="3E61DC49" w:rsidP="00FB22D7">
      <w:pPr>
        <w:jc w:val="both"/>
        <w:rPr>
          <w:i/>
        </w:rPr>
      </w:pPr>
      <w:r w:rsidRPr="00C95609">
        <w:rPr>
          <w:b/>
          <w:bCs/>
          <w:i/>
        </w:rPr>
        <w:t>Proposal 1</w:t>
      </w:r>
      <w:r w:rsidR="00C95609" w:rsidRPr="00C95609">
        <w:rPr>
          <w:b/>
          <w:bCs/>
          <w:i/>
        </w:rPr>
        <w:t>0</w:t>
      </w:r>
      <w:r w:rsidRPr="00C95609">
        <w:rPr>
          <w:b/>
          <w:bCs/>
          <w:i/>
        </w:rPr>
        <w:t xml:space="preserve">: </w:t>
      </w:r>
      <w:r w:rsidRPr="00C95609">
        <w:rPr>
          <w:i/>
          <w:iCs/>
        </w:rPr>
        <w:t>A slot-aggregate consist of 1, 2, 4 or 8 slots with the possibility to extend it to larger values in the future.</w:t>
      </w:r>
    </w:p>
    <w:p w14:paraId="6B15AE9D" w14:textId="77777777" w:rsidR="00FB22D7" w:rsidRDefault="00FB22D7" w:rsidP="00FB22D7">
      <w:pPr>
        <w:pStyle w:val="Heading1"/>
      </w:pPr>
      <w:r>
        <w:rPr>
          <w:color w:val="000000"/>
        </w:rPr>
        <w:t>4</w:t>
      </w:r>
      <w:r>
        <w:rPr>
          <w:color w:val="000000"/>
        </w:rPr>
        <w:tab/>
      </w:r>
      <w:r>
        <w:t xml:space="preserve">Time domain resource allocation </w:t>
      </w:r>
    </w:p>
    <w:p w14:paraId="39D89B25" w14:textId="2019E49B" w:rsidR="00FB22D7" w:rsidRPr="000717FB" w:rsidRDefault="00FB22D7" w:rsidP="3E61DC49">
      <w:pPr>
        <w:pStyle w:val="Heading2"/>
        <w:rPr>
          <w:rFonts w:cs="Arial"/>
          <w:szCs w:val="28"/>
        </w:rPr>
      </w:pPr>
      <w:r w:rsidRPr="000717FB">
        <w:rPr>
          <w:rFonts w:cs="Arial"/>
          <w:szCs w:val="28"/>
          <w:lang w:eastAsia="zh-CN"/>
        </w:rPr>
        <w:t>4</w:t>
      </w:r>
      <w:r w:rsidRPr="000717FB">
        <w:rPr>
          <w:rFonts w:cs="Arial"/>
          <w:szCs w:val="28"/>
        </w:rPr>
        <w:t>.</w:t>
      </w:r>
      <w:r w:rsidRPr="000717FB">
        <w:rPr>
          <w:rFonts w:cs="Arial"/>
          <w:szCs w:val="28"/>
          <w:lang w:eastAsia="zh-CN"/>
        </w:rPr>
        <w:t>1</w:t>
      </w:r>
      <w:r w:rsidRPr="000717FB">
        <w:rPr>
          <w:rFonts w:cs="Arial"/>
        </w:rPr>
        <w:tab/>
      </w:r>
      <w:r w:rsidRPr="000717FB">
        <w:rPr>
          <w:rFonts w:cs="Arial"/>
          <w:szCs w:val="28"/>
        </w:rPr>
        <w:t>Timing indi</w:t>
      </w:r>
      <w:r w:rsidR="005E7E1B" w:rsidRPr="000717FB">
        <w:rPr>
          <w:rFonts w:cs="Arial"/>
          <w:szCs w:val="28"/>
        </w:rPr>
        <w:t>c</w:t>
      </w:r>
      <w:r w:rsidRPr="000717FB">
        <w:rPr>
          <w:rFonts w:cs="Arial"/>
          <w:szCs w:val="28"/>
        </w:rPr>
        <w:t>ation before RRC configuration establishment</w:t>
      </w:r>
    </w:p>
    <w:p w14:paraId="45C4B9AD" w14:textId="77777777" w:rsidR="00FB22D7" w:rsidRDefault="3E61DC49" w:rsidP="00FB22D7">
      <w:pPr>
        <w:spacing w:after="0"/>
        <w:rPr>
          <w:lang w:eastAsia="x-none"/>
        </w:rPr>
      </w:pPr>
      <w:r>
        <w:t>An open issue related to dynamic scheduling timing indication involving higher layer configuration is the operation in the cases when RRC connection has not yet been established. Obviously, PUSCH/PDSCH scheduling is based on slot level granularity at this phase.</w:t>
      </w:r>
    </w:p>
    <w:p w14:paraId="2713F685" w14:textId="77777777" w:rsidR="00FB22D7" w:rsidRDefault="00FB22D7" w:rsidP="00FB22D7">
      <w:pPr>
        <w:spacing w:after="0"/>
        <w:rPr>
          <w:lang w:eastAsia="x-none"/>
        </w:rPr>
      </w:pPr>
    </w:p>
    <w:p w14:paraId="43E50988" w14:textId="77777777" w:rsidR="00FB22D7" w:rsidRDefault="10E807B4" w:rsidP="10E807B4">
      <w:pPr>
        <w:spacing w:after="0"/>
        <w:rPr>
          <w:rFonts w:eastAsiaTheme="minorEastAsia"/>
        </w:rPr>
      </w:pPr>
      <w:r>
        <w:t xml:space="preserve">For PDSCH scheduling, it seems to be a sufficient solution to define K0=0 in this case. In other words, </w:t>
      </w:r>
      <w:r w:rsidRPr="10E807B4">
        <w:rPr>
          <w:rFonts w:eastAsia="MS Mincho"/>
          <w:lang w:eastAsia="ja-JP"/>
        </w:rPr>
        <w:t>DL assignment and corresponding DL data are conveyed in the same slot. This is also inline with agreement made in RAN1#89: “</w:t>
      </w:r>
      <w:r w:rsidRPr="10E807B4">
        <w:rPr>
          <w:rFonts w:eastAsia="MS Mincho"/>
          <w:i/>
          <w:iCs/>
          <w:lang w:eastAsia="ja-JP"/>
        </w:rPr>
        <w:t>All Rel. 15 UE supports minimum value of K0 equal to 0, i.e., DL assignment and the scheduled DL data are in the same slot.”</w:t>
      </w:r>
    </w:p>
    <w:p w14:paraId="44AB8F9B" w14:textId="77777777" w:rsidR="00FB22D7" w:rsidRDefault="00FB22D7" w:rsidP="00FB22D7">
      <w:pPr>
        <w:spacing w:after="0"/>
        <w:rPr>
          <w:lang w:eastAsia="x-none"/>
        </w:rPr>
      </w:pPr>
    </w:p>
    <w:p w14:paraId="04B1080D" w14:textId="29D37E65" w:rsidR="00FB22D7" w:rsidRPr="00C95609" w:rsidRDefault="3E61DC49" w:rsidP="3E61DC49">
      <w:pPr>
        <w:spacing w:after="0"/>
        <w:rPr>
          <w:rFonts w:eastAsia="MS Mincho"/>
          <w:i/>
          <w:iCs/>
          <w:lang w:eastAsia="ja-JP"/>
        </w:rPr>
      </w:pPr>
      <w:r w:rsidRPr="00C95609">
        <w:rPr>
          <w:rFonts w:eastAsia="MS Mincho"/>
          <w:b/>
          <w:bCs/>
          <w:i/>
          <w:iCs/>
          <w:lang w:eastAsia="ja-JP"/>
        </w:rPr>
        <w:t>Proposal 1</w:t>
      </w:r>
      <w:r w:rsidR="00C95609" w:rsidRPr="00C95609">
        <w:rPr>
          <w:rFonts w:eastAsia="MS Mincho"/>
          <w:b/>
          <w:bCs/>
          <w:i/>
          <w:iCs/>
          <w:lang w:eastAsia="ja-JP"/>
        </w:rPr>
        <w:t>1</w:t>
      </w:r>
      <w:r w:rsidRPr="00C95609">
        <w:rPr>
          <w:rFonts w:eastAsia="MS Mincho"/>
          <w:b/>
          <w:bCs/>
          <w:i/>
          <w:iCs/>
          <w:lang w:eastAsia="ja-JP"/>
        </w:rPr>
        <w:t xml:space="preserve">: </w:t>
      </w:r>
      <w:r w:rsidRPr="00C95609">
        <w:rPr>
          <w:rFonts w:eastAsia="MS Mincho"/>
          <w:i/>
          <w:iCs/>
          <w:lang w:eastAsia="ja-JP"/>
        </w:rPr>
        <w:t>Consider a fixed value K0=0, for the case when the timings are unknown to UE.</w:t>
      </w:r>
    </w:p>
    <w:p w14:paraId="168E8CED" w14:textId="77777777" w:rsidR="00FB22D7" w:rsidRPr="00C95609" w:rsidRDefault="00FB22D7" w:rsidP="00FB22D7">
      <w:pPr>
        <w:spacing w:after="0"/>
        <w:jc w:val="both"/>
        <w:rPr>
          <w:rFonts w:eastAsia="MS Mincho"/>
          <w:i/>
          <w:lang w:eastAsia="ja-JP"/>
        </w:rPr>
      </w:pPr>
    </w:p>
    <w:p w14:paraId="75C12E65" w14:textId="77777777" w:rsidR="00FB22D7" w:rsidRDefault="10E807B4" w:rsidP="10E807B4">
      <w:pPr>
        <w:spacing w:after="0"/>
        <w:rPr>
          <w:rFonts w:eastAsia="MS Mincho"/>
          <w:sz w:val="18"/>
          <w:szCs w:val="18"/>
          <w:lang w:eastAsia="ja-JP"/>
        </w:rPr>
      </w:pPr>
      <w:r>
        <w:t xml:space="preserve">For PUSCH case, the timing must be defined according to a conservative approach since the gNB is not aware of the processing capability of the UE. </w:t>
      </w:r>
      <w:r w:rsidRPr="10E807B4">
        <w:rPr>
          <w:rFonts w:eastAsia="MS Mincho"/>
          <w:lang w:eastAsia="ja-JP"/>
        </w:rPr>
        <w:t xml:space="preserve">For timing relationships </w:t>
      </w:r>
      <w:r w:rsidRPr="10E807B4">
        <w:rPr>
          <w:rFonts w:eastAsia="MS Mincho"/>
          <w:b/>
          <w:bCs/>
          <w:i/>
          <w:iCs/>
          <w:lang w:eastAsia="ja-JP"/>
        </w:rPr>
        <w:t>K2</w:t>
      </w:r>
      <w:r w:rsidRPr="10E807B4">
        <w:rPr>
          <w:rFonts w:eastAsia="MS Mincho"/>
          <w:lang w:eastAsia="ja-JP"/>
        </w:rPr>
        <w:t>, there are three options:</w:t>
      </w:r>
    </w:p>
    <w:p w14:paraId="0F1DD1C7" w14:textId="77777777" w:rsidR="00FB22D7" w:rsidRPr="0052773A" w:rsidRDefault="3E61DC49" w:rsidP="3E61DC49">
      <w:pPr>
        <w:pStyle w:val="ListParagraph"/>
        <w:numPr>
          <w:ilvl w:val="0"/>
          <w:numId w:val="39"/>
        </w:numPr>
        <w:spacing w:line="254" w:lineRule="auto"/>
        <w:rPr>
          <w:rFonts w:eastAsiaTheme="minorEastAsia"/>
          <w:sz w:val="20"/>
          <w:szCs w:val="20"/>
          <w:lang w:val="en-US"/>
        </w:rPr>
      </w:pPr>
      <w:r w:rsidRPr="3E61DC49">
        <w:rPr>
          <w:sz w:val="20"/>
          <w:szCs w:val="20"/>
          <w:u w:val="single"/>
          <w:lang w:val="en-US"/>
        </w:rPr>
        <w:t>Option #1:</w:t>
      </w:r>
      <w:r w:rsidRPr="3E61DC49">
        <w:rPr>
          <w:sz w:val="20"/>
          <w:szCs w:val="20"/>
          <w:lang w:val="en-US"/>
        </w:rPr>
        <w:t xml:space="preserve"> A single value for both K2 is defined according to a conservative UE processing time. For example, it can be defined that K2=3 or 4 (slots)    </w:t>
      </w:r>
    </w:p>
    <w:p w14:paraId="06058727" w14:textId="77777777" w:rsidR="00FB22D7" w:rsidRDefault="10E807B4" w:rsidP="10E807B4">
      <w:pPr>
        <w:pStyle w:val="ListParagraph"/>
        <w:numPr>
          <w:ilvl w:val="0"/>
          <w:numId w:val="39"/>
        </w:numPr>
        <w:spacing w:line="254" w:lineRule="auto"/>
        <w:rPr>
          <w:sz w:val="20"/>
          <w:szCs w:val="20"/>
        </w:rPr>
      </w:pPr>
      <w:r w:rsidRPr="10E807B4">
        <w:rPr>
          <w:sz w:val="20"/>
          <w:szCs w:val="20"/>
          <w:u w:val="single"/>
          <w:lang w:val="en-US"/>
        </w:rPr>
        <w:t>Option #2:</w:t>
      </w:r>
      <w:r w:rsidRPr="10E807B4">
        <w:rPr>
          <w:sz w:val="20"/>
          <w:szCs w:val="20"/>
          <w:lang w:val="en-US"/>
        </w:rPr>
        <w:t xml:space="preserve"> A set of values for K2 is defined according to a conservative UE processing time. </w:t>
      </w:r>
      <w:r w:rsidRPr="10E807B4">
        <w:rPr>
          <w:sz w:val="20"/>
          <w:szCs w:val="20"/>
        </w:rPr>
        <w:t>For example, it can be defined that K2= [3, 4, 5, 6] (slots)</w:t>
      </w:r>
    </w:p>
    <w:p w14:paraId="1D1E9E10" w14:textId="7A03B95E" w:rsidR="00FB22D7" w:rsidRPr="0052773A" w:rsidRDefault="3E61DC49" w:rsidP="3E61DC49">
      <w:pPr>
        <w:pStyle w:val="ListParagraph"/>
        <w:numPr>
          <w:ilvl w:val="0"/>
          <w:numId w:val="39"/>
        </w:numPr>
        <w:spacing w:line="254" w:lineRule="auto"/>
        <w:rPr>
          <w:sz w:val="20"/>
          <w:szCs w:val="20"/>
          <w:lang w:val="en-US"/>
        </w:rPr>
      </w:pPr>
      <w:r w:rsidRPr="3E61DC49">
        <w:rPr>
          <w:sz w:val="20"/>
          <w:szCs w:val="20"/>
          <w:u w:val="single"/>
          <w:lang w:val="en-US"/>
        </w:rPr>
        <w:t>Option #3:</w:t>
      </w:r>
      <w:r w:rsidRPr="3E61DC49">
        <w:rPr>
          <w:sz w:val="20"/>
          <w:szCs w:val="20"/>
          <w:lang w:val="en-US"/>
        </w:rPr>
        <w:t xml:space="preserve"> A single value or a set of values for K2 is configured by RMSI</w:t>
      </w:r>
      <w:r w:rsidR="00D35A85">
        <w:rPr>
          <w:sz w:val="20"/>
          <w:szCs w:val="20"/>
          <w:lang w:val="en-US"/>
        </w:rPr>
        <w:t>.</w:t>
      </w:r>
      <w:r w:rsidRPr="3E61DC49">
        <w:rPr>
          <w:sz w:val="20"/>
          <w:szCs w:val="20"/>
          <w:lang w:val="en-US"/>
        </w:rPr>
        <w:t xml:space="preserve"> </w:t>
      </w:r>
    </w:p>
    <w:p w14:paraId="3AA29CD0" w14:textId="77777777" w:rsidR="00FB22D7" w:rsidRDefault="00FB22D7" w:rsidP="00FB22D7">
      <w:pPr>
        <w:spacing w:after="0"/>
        <w:rPr>
          <w:sz w:val="22"/>
          <w:lang w:eastAsia="x-none"/>
        </w:rPr>
      </w:pPr>
    </w:p>
    <w:p w14:paraId="0B66989B" w14:textId="77777777" w:rsidR="00FB22D7" w:rsidRDefault="10E807B4" w:rsidP="00FB22D7">
      <w:pPr>
        <w:spacing w:after="0"/>
        <w:rPr>
          <w:lang w:eastAsia="x-none"/>
        </w:rPr>
      </w:pPr>
      <w:r>
        <w:t>The benefit of Option #1 is that it does not require additional signalling bits in DL/UL grants. On the other hand, Option #2 would facilitate TDD operation in a flexible manner minimizing the gNB scheduler restrctions also for UEs without RRC connection. Option #3 provides configurability for K2 at the expense of increased signalling overhead. We think that sufficient degree of flexibility is achieved already by a predefined set of values. Based on that we make the following proposal (according to Option #2):</w:t>
      </w:r>
    </w:p>
    <w:p w14:paraId="79F918E5" w14:textId="77777777" w:rsidR="00FB22D7" w:rsidRDefault="00FB22D7" w:rsidP="00FB22D7">
      <w:pPr>
        <w:spacing w:after="0"/>
        <w:rPr>
          <w:rFonts w:asciiTheme="minorHAnsi" w:hAnsiTheme="minorHAnsi" w:cstheme="minorBidi"/>
          <w:lang w:eastAsia="x-none"/>
        </w:rPr>
      </w:pPr>
    </w:p>
    <w:p w14:paraId="643CF7EF" w14:textId="7BECACAD" w:rsidR="00FB22D7" w:rsidRPr="00C95609" w:rsidRDefault="3E61DC49" w:rsidP="3E61DC49">
      <w:pPr>
        <w:spacing w:after="0"/>
        <w:rPr>
          <w:rFonts w:eastAsia="MS Mincho"/>
          <w:i/>
          <w:iCs/>
          <w:lang w:eastAsia="ja-JP"/>
        </w:rPr>
      </w:pPr>
      <w:r w:rsidRPr="00C95609">
        <w:rPr>
          <w:rFonts w:eastAsia="MS Mincho"/>
          <w:b/>
          <w:bCs/>
          <w:i/>
          <w:iCs/>
          <w:lang w:eastAsia="ja-JP"/>
        </w:rPr>
        <w:t>Proposal 1</w:t>
      </w:r>
      <w:r w:rsidR="00C95609" w:rsidRPr="00C95609">
        <w:rPr>
          <w:rFonts w:eastAsia="MS Mincho"/>
          <w:b/>
          <w:bCs/>
          <w:i/>
          <w:iCs/>
          <w:lang w:eastAsia="ja-JP"/>
        </w:rPr>
        <w:t>2</w:t>
      </w:r>
      <w:r w:rsidRPr="00C95609">
        <w:rPr>
          <w:rFonts w:eastAsia="MS Mincho"/>
          <w:b/>
          <w:bCs/>
          <w:i/>
          <w:iCs/>
          <w:lang w:eastAsia="ja-JP"/>
        </w:rPr>
        <w:t xml:space="preserve">: </w:t>
      </w:r>
      <w:r w:rsidRPr="00C95609">
        <w:rPr>
          <w:rFonts w:eastAsia="MS Mincho"/>
          <w:i/>
          <w:iCs/>
          <w:lang w:eastAsia="ja-JP"/>
        </w:rPr>
        <w:t>Consider a predefined set of values for dynamic indication of K2 for the case when the timings are unknown to UE.</w:t>
      </w:r>
    </w:p>
    <w:p w14:paraId="36FADD64" w14:textId="77777777" w:rsidR="00FB22D7" w:rsidRPr="00C95609" w:rsidRDefault="00FB22D7" w:rsidP="00FB22D7">
      <w:pPr>
        <w:spacing w:after="0"/>
        <w:jc w:val="both"/>
        <w:rPr>
          <w:rFonts w:eastAsia="MS Mincho"/>
          <w:i/>
          <w:lang w:eastAsia="ja-JP"/>
        </w:rPr>
      </w:pPr>
    </w:p>
    <w:p w14:paraId="510C271C" w14:textId="71A5B40B" w:rsidR="00FB22D7" w:rsidRPr="000717FB" w:rsidRDefault="00FB22D7" w:rsidP="3E61DC49">
      <w:pPr>
        <w:pStyle w:val="Heading2"/>
        <w:rPr>
          <w:rFonts w:cs="Arial"/>
          <w:szCs w:val="28"/>
        </w:rPr>
      </w:pPr>
      <w:r w:rsidRPr="000717FB">
        <w:rPr>
          <w:rFonts w:cs="Arial"/>
          <w:szCs w:val="28"/>
          <w:lang w:eastAsia="zh-CN"/>
        </w:rPr>
        <w:t>4</w:t>
      </w:r>
      <w:r w:rsidRPr="000717FB">
        <w:rPr>
          <w:rFonts w:cs="Arial"/>
          <w:szCs w:val="28"/>
        </w:rPr>
        <w:t>.</w:t>
      </w:r>
      <w:r w:rsidRPr="000717FB">
        <w:rPr>
          <w:rFonts w:cs="Arial"/>
          <w:szCs w:val="28"/>
          <w:lang w:eastAsia="zh-CN"/>
        </w:rPr>
        <w:t>2</w:t>
      </w:r>
      <w:r w:rsidRPr="000717FB">
        <w:rPr>
          <w:rFonts w:cs="Arial"/>
        </w:rPr>
        <w:tab/>
      </w:r>
      <w:r w:rsidRPr="000717FB">
        <w:rPr>
          <w:rFonts w:cs="Arial"/>
          <w:szCs w:val="28"/>
        </w:rPr>
        <w:t>PDSCH/PUSCH scheduling timing: Mini-slot based scheduling</w:t>
      </w:r>
    </w:p>
    <w:p w14:paraId="5A453895" w14:textId="77777777" w:rsidR="00FB22D7" w:rsidRDefault="3E61DC49" w:rsidP="3E61DC49">
      <w:pPr>
        <w:overflowPunct/>
        <w:autoSpaceDE/>
        <w:autoSpaceDN/>
        <w:adjustRightInd/>
        <w:spacing w:before="100" w:beforeAutospacing="1" w:after="60"/>
        <w:textAlignment w:val="auto"/>
      </w:pPr>
      <w:r w:rsidRPr="3E61DC49">
        <w:rPr>
          <w:lang w:val="en-US"/>
        </w:rPr>
        <w:t xml:space="preserve">Generally speaking, flexible </w:t>
      </w:r>
      <w:r>
        <w:t xml:space="preserve">mini-slot based operation requires that DCI contains:   </w:t>
      </w:r>
    </w:p>
    <w:p w14:paraId="2C989D0C" w14:textId="77777777" w:rsidR="00FB22D7" w:rsidRPr="006520EB" w:rsidRDefault="3E61DC49" w:rsidP="3E61DC49">
      <w:pPr>
        <w:pStyle w:val="ListParagraph"/>
        <w:numPr>
          <w:ilvl w:val="0"/>
          <w:numId w:val="35"/>
        </w:numPr>
        <w:rPr>
          <w:sz w:val="20"/>
          <w:szCs w:val="20"/>
          <w:lang w:val="en-US"/>
        </w:rPr>
      </w:pPr>
      <w:r w:rsidRPr="3E61DC49">
        <w:rPr>
          <w:sz w:val="20"/>
          <w:szCs w:val="20"/>
          <w:lang w:val="en-US"/>
        </w:rPr>
        <w:t>The starting position of PDSCH/PUSCH transmission with symbol level granularity. The DCI should contain also an indication of which slot it applies to.</w:t>
      </w:r>
    </w:p>
    <w:p w14:paraId="75CDA4EE" w14:textId="77777777" w:rsidR="00FB22D7" w:rsidRDefault="10E807B4" w:rsidP="10E807B4">
      <w:pPr>
        <w:pStyle w:val="ListParagraph"/>
        <w:numPr>
          <w:ilvl w:val="0"/>
          <w:numId w:val="35"/>
        </w:numPr>
        <w:spacing w:after="180"/>
        <w:jc w:val="both"/>
        <w:rPr>
          <w:sz w:val="20"/>
          <w:szCs w:val="20"/>
          <w:lang w:val="en-US"/>
        </w:rPr>
      </w:pPr>
      <w:r w:rsidRPr="10E807B4">
        <w:rPr>
          <w:sz w:val="20"/>
          <w:szCs w:val="20"/>
          <w:lang w:val="en-US"/>
        </w:rPr>
        <w:t>The length of the PDSCH/PUSCH transmission with symbol level granularity. This can be indicated dynamically from the set of values configured by higher layer signalling. Another option is to configure the PDSCH/PUSCH length in a semi-static manner.</w:t>
      </w:r>
    </w:p>
    <w:p w14:paraId="6D3D3AEA" w14:textId="77777777" w:rsidR="00FB22D7" w:rsidRPr="00F3636B" w:rsidRDefault="3E61DC49" w:rsidP="3E61DC49">
      <w:pPr>
        <w:jc w:val="both"/>
        <w:rPr>
          <w:lang w:val="en-US"/>
        </w:rPr>
      </w:pPr>
      <w:r w:rsidRPr="3E61DC49">
        <w:rPr>
          <w:lang w:val="en-US"/>
        </w:rPr>
        <w:t>In order to minimize the DCI overhead, it should be possible to indicate both starting symbol and the mini-slot duration using a single timing index configured by RRC.</w:t>
      </w:r>
    </w:p>
    <w:p w14:paraId="610A17F8" w14:textId="5E6EA6E9" w:rsidR="00FB22D7" w:rsidRPr="004D29CA" w:rsidRDefault="32975CEE" w:rsidP="32975CEE">
      <w:pPr>
        <w:overflowPunct/>
        <w:autoSpaceDE/>
        <w:autoSpaceDN/>
        <w:adjustRightInd/>
        <w:textAlignment w:val="auto"/>
        <w:rPr>
          <w:rFonts w:eastAsia="MS Mincho"/>
          <w:i/>
          <w:iCs/>
          <w:lang w:val="en-US" w:eastAsia="ja-JP"/>
        </w:rPr>
      </w:pPr>
      <w:r w:rsidRPr="00C95609">
        <w:rPr>
          <w:rFonts w:eastAsia="MS Mincho"/>
          <w:b/>
          <w:bCs/>
          <w:i/>
          <w:iCs/>
          <w:lang w:val="en-US" w:eastAsia="ja-JP"/>
        </w:rPr>
        <w:t>Proposal 1</w:t>
      </w:r>
      <w:r w:rsidR="00C95609" w:rsidRPr="00C95609">
        <w:rPr>
          <w:rFonts w:eastAsia="MS Mincho"/>
          <w:b/>
          <w:bCs/>
          <w:i/>
          <w:iCs/>
          <w:lang w:val="en-US" w:eastAsia="ja-JP"/>
        </w:rPr>
        <w:t>3</w:t>
      </w:r>
      <w:r w:rsidRPr="00C95609">
        <w:rPr>
          <w:rFonts w:eastAsia="MS Mincho"/>
          <w:b/>
          <w:bCs/>
          <w:i/>
          <w:iCs/>
          <w:lang w:val="en-US" w:eastAsia="ja-JP"/>
        </w:rPr>
        <w:t>:</w:t>
      </w:r>
      <w:r w:rsidRPr="32975CEE">
        <w:rPr>
          <w:rFonts w:eastAsia="MS Mincho"/>
          <w:b/>
          <w:bCs/>
          <w:i/>
          <w:iCs/>
          <w:lang w:val="en-US" w:eastAsia="ja-JP"/>
        </w:rPr>
        <w:t xml:space="preserve"> </w:t>
      </w:r>
      <w:r w:rsidRPr="32975CEE">
        <w:rPr>
          <w:rFonts w:eastAsia="MS Mincho"/>
          <w:i/>
          <w:iCs/>
          <w:lang w:val="en-US" w:eastAsia="ja-JP"/>
        </w:rPr>
        <w:t>Support indication of both starting position and the duration of (PDSCH/PUSCH) mini-slot using a single index configured by RRC.</w:t>
      </w:r>
    </w:p>
    <w:p w14:paraId="5B4673C3" w14:textId="77777777" w:rsidR="00FB22D7" w:rsidRDefault="10E807B4" w:rsidP="10E807B4">
      <w:pPr>
        <w:spacing w:after="0"/>
        <w:jc w:val="both"/>
        <w:rPr>
          <w:lang w:val="en-US"/>
        </w:rPr>
      </w:pPr>
      <w:r w:rsidRPr="10E807B4">
        <w:rPr>
          <w:lang w:val="en-US"/>
        </w:rPr>
        <w:t>Based on the discussion related to time domain resource allocation in RAN1#90, there are two main principles to convey the starting postion of PDSCH/PUSCH:</w:t>
      </w:r>
    </w:p>
    <w:p w14:paraId="38D3E48B" w14:textId="77777777" w:rsidR="00FB22D7" w:rsidRPr="00847C7C" w:rsidRDefault="3E61DC49" w:rsidP="3E61DC49">
      <w:pPr>
        <w:pStyle w:val="ListParagraph"/>
        <w:numPr>
          <w:ilvl w:val="0"/>
          <w:numId w:val="48"/>
        </w:numPr>
        <w:jc w:val="both"/>
        <w:rPr>
          <w:sz w:val="20"/>
          <w:szCs w:val="20"/>
          <w:lang w:val="en-US"/>
        </w:rPr>
      </w:pPr>
      <w:r w:rsidRPr="3E61DC49">
        <w:rPr>
          <w:sz w:val="20"/>
          <w:szCs w:val="20"/>
          <w:lang w:val="en-US"/>
        </w:rPr>
        <w:t>Opt.1: Starting symbol of a slot. UE is also informed of which slot it applies to.</w:t>
      </w:r>
    </w:p>
    <w:p w14:paraId="33F38722" w14:textId="56E57F40" w:rsidR="00FB22D7" w:rsidRPr="0089362C" w:rsidRDefault="3E61DC49" w:rsidP="3E61DC49">
      <w:pPr>
        <w:pStyle w:val="ListParagraph"/>
        <w:numPr>
          <w:ilvl w:val="0"/>
          <w:numId w:val="48"/>
        </w:numPr>
        <w:jc w:val="both"/>
        <w:rPr>
          <w:lang w:val="en-US"/>
        </w:rPr>
      </w:pPr>
      <w:r w:rsidRPr="3E61DC49">
        <w:rPr>
          <w:sz w:val="20"/>
          <w:szCs w:val="20"/>
          <w:lang w:val="en-US"/>
        </w:rPr>
        <w:t>Opt.2: Symbol number from the start of PDCCH where scheduling PDCCH is included</w:t>
      </w:r>
      <w:r w:rsidR="00D35A85">
        <w:rPr>
          <w:sz w:val="20"/>
          <w:szCs w:val="20"/>
          <w:lang w:val="en-US"/>
        </w:rPr>
        <w:t>.</w:t>
      </w:r>
    </w:p>
    <w:p w14:paraId="2093E6A4" w14:textId="77777777" w:rsidR="00FB22D7" w:rsidRDefault="00FB22D7" w:rsidP="00FB22D7">
      <w:pPr>
        <w:spacing w:after="0"/>
        <w:rPr>
          <w:lang w:val="en-US"/>
        </w:rPr>
      </w:pPr>
    </w:p>
    <w:p w14:paraId="6503D966" w14:textId="77777777" w:rsidR="00FB22D7" w:rsidRDefault="10E807B4" w:rsidP="10E807B4">
      <w:pPr>
        <w:jc w:val="both"/>
        <w:rPr>
          <w:lang w:val="en-US"/>
        </w:rPr>
      </w:pPr>
      <w:r w:rsidRPr="10E807B4">
        <w:rPr>
          <w:lang w:val="en-US"/>
        </w:rPr>
        <w:t>When considering these options for PUSCH mini-slots, it seems that Opt.2 could be a feasible approach for a FDD scenario where time domain resources are always available. On the other hand, the need for dynamic timing indication in the FDD scenario is not that clear. In the case of (dynamic) TDD, Opt.2 would contain signalling states which are not available due to half-duplex constraint (e.g. when CORESET is located at the beginning of the slot). Hence, with given timing flexibility Opt.2 results in higher DCI overhead compared to Opt.1. Opt. 1 is a better approach also in the sense that DCI content does not vary based on the PDCCH location. Therefore Opt. 1 shown in Figure 1 is the preferred approach for dynamic indication of the starting position for PUSCH mini-slot.</w:t>
      </w:r>
    </w:p>
    <w:p w14:paraId="5FB80441" w14:textId="35CE6637" w:rsidR="00FB22D7" w:rsidRDefault="3E61DC49" w:rsidP="3E61DC49">
      <w:pPr>
        <w:jc w:val="both"/>
        <w:rPr>
          <w:i/>
          <w:iCs/>
        </w:rPr>
      </w:pPr>
      <w:r w:rsidRPr="00C95609">
        <w:rPr>
          <w:b/>
          <w:bCs/>
          <w:i/>
        </w:rPr>
        <w:t>Proposal 1</w:t>
      </w:r>
      <w:r w:rsidR="00C95609" w:rsidRPr="00C95609">
        <w:rPr>
          <w:b/>
          <w:bCs/>
          <w:i/>
        </w:rPr>
        <w:t>4</w:t>
      </w:r>
      <w:r w:rsidRPr="00C95609">
        <w:rPr>
          <w:b/>
          <w:bCs/>
          <w:i/>
        </w:rPr>
        <w:t>:</w:t>
      </w:r>
      <w:r w:rsidRPr="3E61DC49">
        <w:rPr>
          <w:b/>
          <w:bCs/>
        </w:rPr>
        <w:t xml:space="preserve"> </w:t>
      </w:r>
      <w:r w:rsidRPr="3E61DC49">
        <w:rPr>
          <w:i/>
          <w:iCs/>
        </w:rPr>
        <w:t>Dynamic indication of the starting position for PUSCH mini-slot is based on Opt. 1 (slot index, and the starting symbol of the slot).</w:t>
      </w:r>
    </w:p>
    <w:p w14:paraId="31882887" w14:textId="77777777" w:rsidR="00FB22D7" w:rsidRDefault="00FB22D7" w:rsidP="00FB22D7">
      <w:pPr>
        <w:jc w:val="center"/>
        <w:rPr>
          <w:lang w:val="en-US"/>
        </w:rPr>
      </w:pPr>
      <w:r w:rsidRPr="00115C88">
        <w:rPr>
          <w:noProof/>
        </w:rPr>
        <w:drawing>
          <wp:inline distT="0" distB="0" distL="0" distR="0" wp14:anchorId="5CF78E87" wp14:editId="2023A7F6">
            <wp:extent cx="4586609" cy="2115940"/>
            <wp:effectExtent l="0" t="0" r="444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93483" cy="2119111"/>
                    </a:xfrm>
                    <a:prstGeom prst="rect">
                      <a:avLst/>
                    </a:prstGeom>
                    <a:noFill/>
                    <a:ln>
                      <a:noFill/>
                    </a:ln>
                  </pic:spPr>
                </pic:pic>
              </a:graphicData>
            </a:graphic>
          </wp:inline>
        </w:drawing>
      </w:r>
    </w:p>
    <w:p w14:paraId="4F8780A2" w14:textId="77777777" w:rsidR="00FB22D7" w:rsidRDefault="00FB22D7" w:rsidP="00FB22D7">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PUSCH mini-slot scheduling</w:t>
      </w:r>
      <w:r w:rsidRPr="00494E56">
        <w:t xml:space="preserve"> </w:t>
      </w:r>
      <w:r>
        <w:t>based on Opt. 1.</w:t>
      </w:r>
    </w:p>
    <w:p w14:paraId="1C5EAC88" w14:textId="77777777" w:rsidR="00FB22D7" w:rsidRDefault="00FB22D7" w:rsidP="00FB22D7"/>
    <w:p w14:paraId="770DA389" w14:textId="0720069D" w:rsidR="00FB22D7" w:rsidRDefault="10E807B4" w:rsidP="10E807B4">
      <w:pPr>
        <w:jc w:val="both"/>
        <w:rPr>
          <w:lang w:val="en-US"/>
        </w:rPr>
      </w:pPr>
      <w:r w:rsidRPr="10E807B4">
        <w:rPr>
          <w:lang w:val="en-US"/>
        </w:rPr>
        <w:t xml:space="preserve">For PDSCH mini-slots, it can be assumed that the needed time domain flexibility for starting position is much smaller compared to that of PUSCH. Hence, in the PDSCH scenario, Opt.1 would result in higher overhead compared to Opt.2. Based on that, we propose that </w:t>
      </w:r>
      <w:r w:rsidR="00D31681">
        <w:rPr>
          <w:lang w:val="en-US"/>
        </w:rPr>
        <w:t>d</w:t>
      </w:r>
      <w:r w:rsidRPr="10E807B4">
        <w:rPr>
          <w:lang w:val="en-US"/>
        </w:rPr>
        <w:t>ynamic indication of the starting position for PDSCH is based on Opt. 2.</w:t>
      </w:r>
    </w:p>
    <w:p w14:paraId="6147BF92" w14:textId="686D3E31" w:rsidR="00FB22D7" w:rsidRDefault="3E61DC49" w:rsidP="3E61DC49">
      <w:pPr>
        <w:jc w:val="both"/>
        <w:rPr>
          <w:lang w:val="en-US"/>
        </w:rPr>
      </w:pPr>
      <w:r w:rsidRPr="00C95609">
        <w:rPr>
          <w:b/>
          <w:bCs/>
          <w:i/>
        </w:rPr>
        <w:t>Proposal 1</w:t>
      </w:r>
      <w:r w:rsidR="00C95609" w:rsidRPr="00C95609">
        <w:rPr>
          <w:b/>
          <w:bCs/>
          <w:i/>
        </w:rPr>
        <w:t>5</w:t>
      </w:r>
      <w:r w:rsidRPr="00C95609">
        <w:rPr>
          <w:b/>
          <w:bCs/>
          <w:i/>
        </w:rPr>
        <w:t>:</w:t>
      </w:r>
      <w:r w:rsidRPr="3E61DC49">
        <w:rPr>
          <w:b/>
          <w:bCs/>
        </w:rPr>
        <w:t xml:space="preserve"> </w:t>
      </w:r>
      <w:r w:rsidRPr="3E61DC49">
        <w:rPr>
          <w:i/>
          <w:iCs/>
        </w:rPr>
        <w:t>Dynamic indication of the starting position for PDSCH</w:t>
      </w:r>
      <w:r w:rsidR="00D31681">
        <w:rPr>
          <w:i/>
          <w:iCs/>
        </w:rPr>
        <w:t xml:space="preserve"> mini-slot</w:t>
      </w:r>
      <w:r w:rsidRPr="3E61DC49">
        <w:rPr>
          <w:i/>
          <w:iCs/>
        </w:rPr>
        <w:t xml:space="preserve"> is based on Opt. 2 (symbol number from the start of PDCCH where scheduling PDCCH is included)</w:t>
      </w:r>
      <w:r w:rsidR="00A75A52">
        <w:rPr>
          <w:i/>
          <w:iCs/>
        </w:rPr>
        <w:t>.</w:t>
      </w:r>
    </w:p>
    <w:p w14:paraId="7A24825F" w14:textId="77777777" w:rsidR="00FB22D7" w:rsidRPr="0089362C" w:rsidRDefault="00FB22D7" w:rsidP="00FB22D7"/>
    <w:p w14:paraId="65AA69F9" w14:textId="68DC8176" w:rsidR="00FB22D7" w:rsidRPr="000717FB" w:rsidRDefault="00FB22D7" w:rsidP="3E61DC49">
      <w:pPr>
        <w:pStyle w:val="Heading2"/>
        <w:rPr>
          <w:rFonts w:cs="Arial"/>
          <w:szCs w:val="32"/>
        </w:rPr>
      </w:pPr>
      <w:r w:rsidRPr="000717FB">
        <w:rPr>
          <w:rFonts w:cs="Arial"/>
          <w:szCs w:val="32"/>
          <w:lang w:eastAsia="zh-CN"/>
        </w:rPr>
        <w:lastRenderedPageBreak/>
        <w:t>4</w:t>
      </w:r>
      <w:r w:rsidRPr="000717FB">
        <w:rPr>
          <w:rFonts w:cs="Arial"/>
          <w:szCs w:val="32"/>
        </w:rPr>
        <w:t>.</w:t>
      </w:r>
      <w:r w:rsidRPr="000717FB">
        <w:rPr>
          <w:rFonts w:cs="Arial"/>
          <w:szCs w:val="32"/>
          <w:lang w:eastAsia="zh-CN"/>
        </w:rPr>
        <w:t>3</w:t>
      </w:r>
      <w:r w:rsidRPr="000717FB">
        <w:rPr>
          <w:rFonts w:cs="Arial"/>
          <w:szCs w:val="32"/>
        </w:rPr>
        <w:tab/>
        <w:t>PDSCH/PUSCH scheduling timing: Slot aggregation</w:t>
      </w:r>
    </w:p>
    <w:p w14:paraId="55B07236" w14:textId="77777777" w:rsidR="00FB22D7" w:rsidRDefault="3E61DC49" w:rsidP="3E61DC49">
      <w:pPr>
        <w:spacing w:after="120"/>
        <w:jc w:val="both"/>
        <w:rPr>
          <w:rFonts w:eastAsia="MS Mincho"/>
          <w:lang w:eastAsia="ja-JP"/>
        </w:rPr>
      </w:pPr>
      <w:r w:rsidRPr="3E61DC49">
        <w:rPr>
          <w:rFonts w:eastAsia="MS Mincho"/>
          <w:lang w:eastAsia="ja-JP"/>
        </w:rPr>
        <w:t>In case of slot-based scheduling or slot aggregation, it can be beneficial to dynamically indicate the number of slots being scheduled, e.g. in the following cases:</w:t>
      </w:r>
    </w:p>
    <w:p w14:paraId="6D1A6C03" w14:textId="77777777" w:rsidR="00FB22D7" w:rsidRDefault="3E61DC49" w:rsidP="3E61DC49">
      <w:pPr>
        <w:numPr>
          <w:ilvl w:val="0"/>
          <w:numId w:val="16"/>
        </w:numPr>
        <w:spacing w:after="120"/>
        <w:contextualSpacing/>
        <w:jc w:val="both"/>
        <w:rPr>
          <w:rFonts w:eastAsia="MS Mincho"/>
          <w:lang w:eastAsia="ja-JP"/>
        </w:rPr>
      </w:pPr>
      <w:r w:rsidRPr="3E61DC49">
        <w:rPr>
          <w:rFonts w:eastAsia="MS Mincho"/>
          <w:lang w:eastAsia="ja-JP"/>
        </w:rPr>
        <w:t>If slot aggregation is used to provide extended coverage, dynamic indication of the duration can allow more flexible and faster link adaptation.</w:t>
      </w:r>
    </w:p>
    <w:p w14:paraId="29AEAC99" w14:textId="77777777" w:rsidR="00FB22D7" w:rsidRDefault="10E807B4" w:rsidP="10E807B4">
      <w:pPr>
        <w:numPr>
          <w:ilvl w:val="0"/>
          <w:numId w:val="16"/>
        </w:numPr>
        <w:spacing w:after="120"/>
        <w:contextualSpacing/>
        <w:jc w:val="both"/>
        <w:rPr>
          <w:rFonts w:eastAsia="MS Mincho"/>
          <w:lang w:eastAsia="ja-JP"/>
        </w:rPr>
      </w:pPr>
      <w:r w:rsidRPr="10E807B4">
        <w:rPr>
          <w:rFonts w:eastAsia="MS Mincho"/>
          <w:lang w:eastAsia="ja-JP"/>
        </w:rPr>
        <w:t>In case of dynamic TDD, the gNB can have full flexibility to determine the number of DL and UL slots based on the traffic condition.</w:t>
      </w:r>
    </w:p>
    <w:p w14:paraId="2D2026A6" w14:textId="77777777" w:rsidR="00FB22D7" w:rsidRDefault="3E61DC49" w:rsidP="3E61DC49">
      <w:pPr>
        <w:numPr>
          <w:ilvl w:val="1"/>
          <w:numId w:val="16"/>
        </w:numPr>
        <w:spacing w:after="120"/>
        <w:contextualSpacing/>
        <w:jc w:val="both"/>
        <w:rPr>
          <w:rFonts w:eastAsia="MS Mincho"/>
          <w:lang w:eastAsia="ja-JP"/>
        </w:rPr>
      </w:pPr>
      <w:r w:rsidRPr="3E61DC49">
        <w:rPr>
          <w:rFonts w:eastAsia="MS Mincho"/>
          <w:lang w:eastAsia="ja-JP"/>
        </w:rPr>
        <w:t>For UL, each UL slot may not necessarily have a corresponding DL slot for transmitting the UL grant, e.g. when there are less number of DL slots than UL slots, or when the timing does not fit well with the chosen frame structure. In these cases, it becomes necessary to be able to dynamically indicate the number of UL slots being scheduled.</w:t>
      </w:r>
    </w:p>
    <w:p w14:paraId="45778991" w14:textId="77777777" w:rsidR="00FB22D7" w:rsidRDefault="10E807B4" w:rsidP="10E807B4">
      <w:pPr>
        <w:numPr>
          <w:ilvl w:val="1"/>
          <w:numId w:val="16"/>
        </w:numPr>
        <w:spacing w:after="120"/>
        <w:contextualSpacing/>
        <w:jc w:val="both"/>
        <w:rPr>
          <w:rFonts w:eastAsia="MS Mincho"/>
          <w:lang w:eastAsia="ja-JP"/>
        </w:rPr>
      </w:pPr>
      <w:r w:rsidRPr="10E807B4">
        <w:rPr>
          <w:rFonts w:eastAsia="MS Mincho"/>
          <w:lang w:eastAsia="ja-JP"/>
        </w:rPr>
        <w:t>For DL, the gNB of course always has the choice to send DL assignment separately for each PDSCH. Supporting slot aggregation (or multi-slot scheduling) with a single DCI has the benefit of reduced DCI overhead.</w:t>
      </w:r>
    </w:p>
    <w:p w14:paraId="15E562A9" w14:textId="77777777" w:rsidR="00FB22D7" w:rsidRDefault="00FB22D7" w:rsidP="00FB22D7">
      <w:pPr>
        <w:spacing w:after="120"/>
        <w:contextualSpacing/>
        <w:jc w:val="both"/>
        <w:rPr>
          <w:rFonts w:eastAsia="MS Mincho"/>
          <w:szCs w:val="24"/>
          <w:lang w:eastAsia="ja-JP"/>
        </w:rPr>
      </w:pPr>
    </w:p>
    <w:p w14:paraId="1C069EDA" w14:textId="77777777" w:rsidR="00FB22D7" w:rsidRDefault="10E807B4" w:rsidP="10E807B4">
      <w:pPr>
        <w:spacing w:after="120"/>
        <w:contextualSpacing/>
        <w:jc w:val="both"/>
        <w:rPr>
          <w:rFonts w:eastAsia="MS Mincho"/>
          <w:lang w:eastAsia="ja-JP"/>
        </w:rPr>
      </w:pPr>
      <w:r w:rsidRPr="10E807B4">
        <w:rPr>
          <w:rFonts w:eastAsia="MS Mincho"/>
          <w:lang w:eastAsia="ja-JP"/>
        </w:rPr>
        <w:t>The following options were indentified in RAN1#90 for multi-slot case:</w:t>
      </w:r>
    </w:p>
    <w:p w14:paraId="4508C02D" w14:textId="77777777" w:rsidR="00FB22D7" w:rsidRPr="0089362C" w:rsidRDefault="3E61DC49" w:rsidP="3E61DC49">
      <w:pPr>
        <w:numPr>
          <w:ilvl w:val="0"/>
          <w:numId w:val="49"/>
        </w:numPr>
        <w:spacing w:after="120"/>
        <w:contextualSpacing/>
        <w:jc w:val="both"/>
        <w:rPr>
          <w:rFonts w:eastAsia="MS Mincho"/>
          <w:lang w:val="en-US" w:eastAsia="ja-JP"/>
        </w:rPr>
      </w:pPr>
      <w:r w:rsidRPr="3E61DC49">
        <w:rPr>
          <w:rFonts w:eastAsia="MS Mincho"/>
          <w:lang w:val="en-US" w:eastAsia="ja-JP"/>
        </w:rPr>
        <w:t>Opt.1: Starting symbol and ending symbol of each slot of the aggregated slots, and the starting slot and ending slot where it is applied to</w:t>
      </w:r>
    </w:p>
    <w:p w14:paraId="7BC153EA" w14:textId="77777777" w:rsidR="00FB22D7" w:rsidRPr="0089362C" w:rsidRDefault="3E61DC49" w:rsidP="3E61DC49">
      <w:pPr>
        <w:numPr>
          <w:ilvl w:val="0"/>
          <w:numId w:val="49"/>
        </w:numPr>
        <w:spacing w:after="120"/>
        <w:contextualSpacing/>
        <w:jc w:val="both"/>
        <w:rPr>
          <w:rFonts w:eastAsia="MS Mincho"/>
          <w:lang w:val="en-US" w:eastAsia="ja-JP"/>
        </w:rPr>
      </w:pPr>
      <w:r w:rsidRPr="3E61DC49">
        <w:rPr>
          <w:rFonts w:eastAsia="MS Mincho"/>
          <w:lang w:val="en-US" w:eastAsia="ja-JP"/>
        </w:rPr>
        <w:t>Opt.2: Starting symbol and ending symbol of a slot, and the starting slot and ending slot where it is applied to</w:t>
      </w:r>
    </w:p>
    <w:p w14:paraId="42BD227B" w14:textId="77777777" w:rsidR="00FB22D7" w:rsidRPr="0089362C" w:rsidRDefault="3E61DC49" w:rsidP="3E61DC49">
      <w:pPr>
        <w:numPr>
          <w:ilvl w:val="1"/>
          <w:numId w:val="49"/>
        </w:numPr>
        <w:spacing w:after="120"/>
        <w:contextualSpacing/>
        <w:jc w:val="both"/>
        <w:rPr>
          <w:rFonts w:eastAsia="MS Mincho"/>
          <w:lang w:val="en-US" w:eastAsia="ja-JP"/>
        </w:rPr>
      </w:pPr>
      <w:r w:rsidRPr="3E61DC49">
        <w:rPr>
          <w:rFonts w:eastAsia="MS Mincho"/>
          <w:lang w:val="en-US" w:eastAsia="ja-JP"/>
        </w:rPr>
        <w:t>The starting symbol and ending symbol are applied to all the aggregated slots</w:t>
      </w:r>
    </w:p>
    <w:p w14:paraId="6CE0A6DE" w14:textId="0D98DAA7" w:rsidR="00FB22D7" w:rsidRPr="0089362C" w:rsidRDefault="3E61DC49" w:rsidP="3E61DC49">
      <w:pPr>
        <w:numPr>
          <w:ilvl w:val="0"/>
          <w:numId w:val="49"/>
        </w:numPr>
        <w:spacing w:after="120"/>
        <w:contextualSpacing/>
        <w:jc w:val="both"/>
        <w:rPr>
          <w:rFonts w:eastAsia="MS Mincho"/>
          <w:lang w:val="en-US" w:eastAsia="ja-JP"/>
        </w:rPr>
      </w:pPr>
      <w:r w:rsidRPr="3E61DC49">
        <w:rPr>
          <w:rFonts w:eastAsia="MS Mincho"/>
          <w:lang w:val="en-US" w:eastAsia="ja-JP"/>
        </w:rPr>
        <w:t>Opt.3: Starting symbol, starting slot, and the ending symbol and ending slot</w:t>
      </w:r>
      <w:r w:rsidR="00D35A85">
        <w:rPr>
          <w:rFonts w:eastAsia="MS Mincho"/>
          <w:lang w:val="en-US" w:eastAsia="ja-JP"/>
        </w:rPr>
        <w:t>.</w:t>
      </w:r>
    </w:p>
    <w:p w14:paraId="016E78DB" w14:textId="77777777" w:rsidR="00FB22D7" w:rsidRPr="0089362C" w:rsidRDefault="00FB22D7" w:rsidP="00FB22D7">
      <w:pPr>
        <w:spacing w:after="120"/>
        <w:contextualSpacing/>
        <w:jc w:val="both"/>
        <w:rPr>
          <w:rFonts w:eastAsia="MS Mincho"/>
          <w:szCs w:val="24"/>
          <w:lang w:val="en-US" w:eastAsia="ja-JP"/>
        </w:rPr>
      </w:pPr>
    </w:p>
    <w:p w14:paraId="061F13BF" w14:textId="75CA85CE" w:rsidR="00FB22D7" w:rsidRDefault="10E807B4" w:rsidP="10E807B4">
      <w:pPr>
        <w:spacing w:after="120"/>
        <w:contextualSpacing/>
        <w:jc w:val="both"/>
        <w:rPr>
          <w:lang w:val="en-US"/>
        </w:rPr>
      </w:pPr>
      <w:r w:rsidRPr="10E807B4">
        <w:rPr>
          <w:rFonts w:eastAsia="MS Mincho"/>
          <w:lang w:eastAsia="ja-JP"/>
        </w:rPr>
        <w:t xml:space="preserve">When comparing these options, Opt.2 is our preference since </w:t>
      </w:r>
      <w:r w:rsidRPr="10E807B4">
        <w:rPr>
          <w:lang w:val="en-US"/>
        </w:rPr>
        <w:t>it allows to minimize the amount of additional control signalling involved in slot aggregation.</w:t>
      </w:r>
      <w:r w:rsidR="00FD236B">
        <w:rPr>
          <w:lang w:val="en-US"/>
        </w:rPr>
        <w:t xml:space="preserve"> gNB may determine the starting symbol and ending symbol of a slot in a conservative manner (i.e. according to the latest starting symbol of aggregated slots and the earlierst ending symbol of the aggregated slots, respectively).</w:t>
      </w:r>
      <w:r w:rsidRPr="10E807B4">
        <w:rPr>
          <w:lang w:val="en-US"/>
        </w:rPr>
        <w:t xml:space="preserve"> In the cases where further flexibility is needed, it’s possible to send a separate UL/DL grant for each PDSCH/PUSCH.</w:t>
      </w:r>
    </w:p>
    <w:p w14:paraId="714543FA" w14:textId="77777777" w:rsidR="00FB22D7" w:rsidRPr="00F3636B" w:rsidRDefault="00FB22D7" w:rsidP="00FB22D7">
      <w:pPr>
        <w:spacing w:after="120"/>
        <w:contextualSpacing/>
        <w:jc w:val="both"/>
        <w:rPr>
          <w:lang w:val="en-US"/>
        </w:rPr>
      </w:pPr>
    </w:p>
    <w:p w14:paraId="094DBF00" w14:textId="2760AF7C" w:rsidR="00FB22D7" w:rsidRPr="0089362C" w:rsidRDefault="3E61DC49" w:rsidP="3E61DC49">
      <w:pPr>
        <w:rPr>
          <w:i/>
          <w:iCs/>
          <w:lang w:val="en-US"/>
        </w:rPr>
      </w:pPr>
      <w:r w:rsidRPr="00C95609">
        <w:rPr>
          <w:b/>
          <w:bCs/>
          <w:i/>
        </w:rPr>
        <w:t>Proposal 1</w:t>
      </w:r>
      <w:r w:rsidR="00C95609" w:rsidRPr="00C95609">
        <w:rPr>
          <w:b/>
          <w:bCs/>
          <w:i/>
        </w:rPr>
        <w:t>6</w:t>
      </w:r>
      <w:r w:rsidRPr="00C95609">
        <w:rPr>
          <w:b/>
          <w:bCs/>
          <w:i/>
          <w:iCs/>
        </w:rPr>
        <w:t>:</w:t>
      </w:r>
      <w:r w:rsidRPr="3E61DC49">
        <w:rPr>
          <w:i/>
          <w:iCs/>
        </w:rPr>
        <w:t xml:space="preserve"> In case of slot-based scheduling, the number of slots for a data transmission can be dynamically indicated in DCI. The starting symbol and ending symbol are applied to all the aggregated slots.</w:t>
      </w:r>
    </w:p>
    <w:p w14:paraId="2B3EBEE2" w14:textId="77777777" w:rsidR="00704495" w:rsidRDefault="00704495" w:rsidP="3E61DC49">
      <w:pPr>
        <w:pStyle w:val="Heading1"/>
        <w:rPr>
          <w:color w:val="000000" w:themeColor="text1"/>
        </w:rPr>
      </w:pPr>
      <w:r>
        <w:rPr>
          <w:color w:val="000000"/>
        </w:rPr>
        <w:t>5</w:t>
      </w:r>
      <w:r>
        <w:rPr>
          <w:color w:val="000000"/>
        </w:rPr>
        <w:tab/>
        <w:t>TBS determination</w:t>
      </w:r>
    </w:p>
    <w:p w14:paraId="212DB600" w14:textId="77777777" w:rsidR="00704495" w:rsidRDefault="10E807B4" w:rsidP="00704495">
      <w:r>
        <w:t>In LTE, TBS tables were carefully defined with a 1 PRB granularity for different cases with some underlying assumptions on e.g. the number of available REs. With the flexible transmission duration being introduced in NR, the TBS determination needs to be carefully considered. Given the wide range of the transmission durations in NR, it would be unrealistic or cumbersome to separately define TBS tables for each of the transmission durations. Moreover, LTE is limited to 110 PRBs whereas in case of NR up to 275 or even 550 PRBs are possible, which makes this exercise even more complicated.</w:t>
      </w:r>
    </w:p>
    <w:p w14:paraId="71ABE5EE" w14:textId="77777777" w:rsidR="00704495" w:rsidRDefault="3E61DC49" w:rsidP="00704495">
      <w:pPr>
        <w:jc w:val="both"/>
        <w:rPr>
          <w:szCs w:val="24"/>
        </w:rPr>
      </w:pPr>
      <w:r>
        <w:t xml:space="preserve">Having a predefined formula or method to derive the TBS seems to be a feasible way to reduce the complexity of having large look-up tables. The formula should consider the number of (available) REs, the intended spectral efficiency (MCS), and the number of MIMO layer. In LTE, TBS table always results the same CBS in the segmentation process and reduce the complexity of having different padding for each CB. This was identified as good property in the channel coding session, and the following agreement was to simplify the code segmentation. </w:t>
      </w:r>
    </w:p>
    <w:p w14:paraId="6AA0C3AF" w14:textId="77777777" w:rsidR="00704495" w:rsidRPr="005F717C" w:rsidRDefault="3E61DC49" w:rsidP="3E61DC49">
      <w:pPr>
        <w:jc w:val="both"/>
        <w:rPr>
          <w:rFonts w:eastAsia="MS Mincho"/>
          <w:b/>
          <w:bCs/>
          <w:highlight w:val="green"/>
          <w:u w:val="single"/>
          <w:lang w:eastAsia="ja-JP"/>
        </w:rPr>
      </w:pPr>
      <w:r w:rsidRPr="3E61DC49">
        <w:rPr>
          <w:rFonts w:eastAsia="MS Mincho"/>
          <w:b/>
          <w:bCs/>
          <w:highlight w:val="green"/>
          <w:u w:val="single"/>
          <w:lang w:eastAsia="ja-JP"/>
        </w:rPr>
        <w:t>Agreement:</w:t>
      </w:r>
    </w:p>
    <w:p w14:paraId="348003E4" w14:textId="77777777" w:rsidR="00704495" w:rsidRPr="005F717C" w:rsidRDefault="3E61DC49" w:rsidP="3E61DC49">
      <w:pPr>
        <w:numPr>
          <w:ilvl w:val="0"/>
          <w:numId w:val="50"/>
        </w:numPr>
        <w:tabs>
          <w:tab w:val="left" w:pos="720"/>
          <w:tab w:val="left" w:pos="1440"/>
        </w:tabs>
        <w:overflowPunct/>
        <w:autoSpaceDE/>
        <w:autoSpaceDN/>
        <w:adjustRightInd/>
        <w:spacing w:after="0"/>
        <w:jc w:val="both"/>
        <w:textAlignment w:val="auto"/>
        <w:rPr>
          <w:rFonts w:eastAsia="MS Mincho"/>
          <w:lang w:eastAsia="ja-JP"/>
        </w:rPr>
      </w:pPr>
      <w:r w:rsidRPr="3E61DC49">
        <w:rPr>
          <w:rFonts w:eastAsia="MS Mincho"/>
          <w:lang w:eastAsia="ja-JP"/>
        </w:rPr>
        <w:t>Equal code block size after segmentation</w:t>
      </w:r>
    </w:p>
    <w:p w14:paraId="2E220A36" w14:textId="77777777" w:rsidR="00704495" w:rsidRPr="005F717C" w:rsidRDefault="3E61DC49" w:rsidP="3E61DC49">
      <w:pPr>
        <w:numPr>
          <w:ilvl w:val="0"/>
          <w:numId w:val="50"/>
        </w:numPr>
        <w:tabs>
          <w:tab w:val="left" w:pos="720"/>
          <w:tab w:val="left" w:pos="1440"/>
        </w:tabs>
        <w:overflowPunct/>
        <w:autoSpaceDE/>
        <w:autoSpaceDN/>
        <w:adjustRightInd/>
        <w:spacing w:after="0"/>
        <w:jc w:val="both"/>
        <w:textAlignment w:val="auto"/>
        <w:rPr>
          <w:rFonts w:eastAsia="MS Mincho"/>
          <w:lang w:eastAsia="ja-JP"/>
        </w:rPr>
      </w:pPr>
      <w:r w:rsidRPr="3E61DC49">
        <w:rPr>
          <w:rFonts w:eastAsia="MS Mincho"/>
          <w:highlight w:val="darkYellow"/>
          <w:lang w:eastAsia="ja-JP"/>
        </w:rPr>
        <w:t>Working Assumption:</w:t>
      </w:r>
      <w:r w:rsidRPr="00A75A52">
        <w:rPr>
          <w:rFonts w:eastAsia="MS Mincho"/>
          <w:lang w:eastAsia="ja-JP"/>
        </w:rPr>
        <w:t xml:space="preserve"> </w:t>
      </w:r>
      <w:r w:rsidRPr="3E61DC49">
        <w:rPr>
          <w:rFonts w:eastAsia="MS Mincho"/>
          <w:lang w:eastAsia="ja-JP"/>
        </w:rPr>
        <w:t>TBS determination procedure ensures that TBS plus TB-CRC can be factored into the number of CBs multiplied by the CBS (before addition of LDPC encoding filler bits).</w:t>
      </w:r>
    </w:p>
    <w:p w14:paraId="6AEE7EEC" w14:textId="77777777" w:rsidR="00704495" w:rsidRPr="005F717C" w:rsidRDefault="3E61DC49" w:rsidP="3E61DC49">
      <w:pPr>
        <w:numPr>
          <w:ilvl w:val="1"/>
          <w:numId w:val="50"/>
        </w:numPr>
        <w:tabs>
          <w:tab w:val="left" w:pos="720"/>
          <w:tab w:val="left" w:pos="1440"/>
        </w:tabs>
        <w:overflowPunct/>
        <w:autoSpaceDE/>
        <w:autoSpaceDN/>
        <w:adjustRightInd/>
        <w:spacing w:after="0"/>
        <w:jc w:val="both"/>
        <w:textAlignment w:val="auto"/>
        <w:rPr>
          <w:rFonts w:eastAsia="MS Mincho"/>
          <w:lang w:eastAsia="ja-JP"/>
        </w:rPr>
      </w:pPr>
      <w:r w:rsidRPr="3E61DC49">
        <w:rPr>
          <w:rFonts w:eastAsia="MS Mincho"/>
          <w:lang w:eastAsia="ja-JP"/>
        </w:rPr>
        <w:t>(If a special case emerges where the TBS determination procedure cannot achieve the above criterion, equal CBS would be achieved by zero-padding.)</w:t>
      </w:r>
    </w:p>
    <w:p w14:paraId="5A88249C" w14:textId="77777777" w:rsidR="00704495" w:rsidRPr="005F717C" w:rsidRDefault="00704495" w:rsidP="00704495">
      <w:pPr>
        <w:pStyle w:val="BodyText"/>
        <w:jc w:val="both"/>
        <w:rPr>
          <w:rFonts w:eastAsiaTheme="minorEastAsia"/>
          <w:szCs w:val="24"/>
          <w:lang w:eastAsia="zh-CN"/>
        </w:rPr>
      </w:pPr>
    </w:p>
    <w:p w14:paraId="33F15EB2" w14:textId="77777777" w:rsidR="00704495" w:rsidRPr="005F717C" w:rsidRDefault="3E61DC49" w:rsidP="3E61DC49">
      <w:pPr>
        <w:pStyle w:val="BodyText"/>
        <w:jc w:val="both"/>
        <w:rPr>
          <w:rFonts w:eastAsiaTheme="minorEastAsia"/>
          <w:lang w:eastAsia="zh-CN"/>
        </w:rPr>
      </w:pPr>
      <w:r w:rsidRPr="3E61DC49">
        <w:rPr>
          <w:rFonts w:eastAsiaTheme="minorEastAsia"/>
          <w:lang w:eastAsia="zh-CN"/>
        </w:rPr>
        <w:t xml:space="preserve">The TBS can be calculated using the following formula. </w:t>
      </w:r>
    </w:p>
    <w:p w14:paraId="4DCAAD54" w14:textId="77777777" w:rsidR="00704495" w:rsidRPr="005F717C" w:rsidRDefault="00704495" w:rsidP="3E61DC49">
      <w:pPr>
        <w:pStyle w:val="BodyText"/>
        <w:jc w:val="center"/>
        <w:rPr>
          <w:rFonts w:eastAsiaTheme="minorEastAsia"/>
          <w:sz w:val="24"/>
          <w:szCs w:val="24"/>
          <w:lang w:eastAsia="zh-CN"/>
        </w:rPr>
      </w:pPr>
      <w:r w:rsidRPr="3E61DC49">
        <w:rPr>
          <w:rFonts w:eastAsiaTheme="minorEastAsia"/>
          <w:sz w:val="24"/>
          <w:szCs w:val="24"/>
          <w:lang w:eastAsia="zh-CN"/>
        </w:rPr>
        <w:t xml:space="preserve">TBS = </w:t>
      </w:r>
      <m:oMath>
        <m:d>
          <m:dPr>
            <m:begChr m:val="⌈"/>
            <m:endChr m:val="⌉"/>
            <m:ctrlPr>
              <w:rPr>
                <w:rFonts w:ascii="Cambria Math" w:eastAsiaTheme="minorEastAsia" w:hAnsi="Cambria Math"/>
                <w:sz w:val="24"/>
                <w:szCs w:val="24"/>
                <w:lang w:eastAsia="zh-CN"/>
              </w:rPr>
            </m:ctrlPr>
          </m:dPr>
          <m:e>
            <m:f>
              <m:fPr>
                <m:ctrlPr>
                  <w:rPr>
                    <w:rFonts w:ascii="Cambria Math" w:eastAsiaTheme="minorEastAsia" w:hAnsi="Cambria Math"/>
                    <w:sz w:val="24"/>
                    <w:szCs w:val="24"/>
                    <w:lang w:eastAsia="zh-CN"/>
                  </w:rPr>
                </m:ctrlPr>
              </m:fPr>
              <m:num>
                <m:sSub>
                  <m:sSubPr>
                    <m:ctrlPr>
                      <w:rPr>
                        <w:rFonts w:ascii="Cambria Math" w:eastAsiaTheme="minorEastAsia" w:hAnsi="Cambria Math"/>
                        <w:i/>
                        <w:sz w:val="24"/>
                        <w:szCs w:val="24"/>
                        <w:lang w:eastAsia="zh-CN"/>
                      </w:rPr>
                    </m:ctrlPr>
                  </m:sSubPr>
                  <m:e>
                    <m:r>
                      <w:rPr>
                        <w:rFonts w:ascii="Cambria Math" w:eastAsiaTheme="minorEastAsia" w:hAnsi="Cambria Math"/>
                        <w:sz w:val="24"/>
                        <w:szCs w:val="24"/>
                        <w:lang w:eastAsia="zh-CN"/>
                      </w:rPr>
                      <m:t>N</m:t>
                    </m:r>
                  </m:e>
                  <m:sub>
                    <m:r>
                      <w:rPr>
                        <w:rFonts w:ascii="Cambria Math" w:eastAsiaTheme="minorEastAsia" w:hAnsi="Cambria Math"/>
                        <w:sz w:val="24"/>
                        <w:szCs w:val="24"/>
                        <w:lang w:eastAsia="zh-CN"/>
                      </w:rPr>
                      <m:t>RE</m:t>
                    </m:r>
                  </m:sub>
                </m:sSub>
                <m:r>
                  <w:rPr>
                    <w:rFonts w:ascii="Cambria Math" w:eastAsiaTheme="minorEastAsia" w:hAnsi="Cambria Math"/>
                    <w:sz w:val="24"/>
                    <w:szCs w:val="24"/>
                    <w:lang w:eastAsia="zh-CN"/>
                  </w:rPr>
                  <m:t>×</m:t>
                </m:r>
                <m:sSub>
                  <m:sSubPr>
                    <m:ctrlPr>
                      <w:rPr>
                        <w:rFonts w:ascii="Cambria Math" w:eastAsiaTheme="minorEastAsia" w:hAnsi="Cambria Math"/>
                        <w:i/>
                        <w:sz w:val="24"/>
                        <w:szCs w:val="24"/>
                        <w:lang w:eastAsia="zh-CN"/>
                      </w:rPr>
                    </m:ctrlPr>
                  </m:sSubPr>
                  <m:e>
                    <m:r>
                      <w:rPr>
                        <w:rFonts w:ascii="Cambria Math" w:eastAsiaTheme="minorEastAsia" w:hAnsi="Cambria Math"/>
                        <w:sz w:val="24"/>
                        <w:szCs w:val="24"/>
                        <w:lang w:eastAsia="zh-CN"/>
                      </w:rPr>
                      <m:t>Q</m:t>
                    </m:r>
                  </m:e>
                  <m:sub>
                    <m:r>
                      <w:rPr>
                        <w:rFonts w:ascii="Cambria Math" w:eastAsiaTheme="minorEastAsia" w:hAnsi="Cambria Math"/>
                        <w:sz w:val="24"/>
                        <w:szCs w:val="24"/>
                        <w:lang w:eastAsia="zh-CN"/>
                      </w:rPr>
                      <m:t>m</m:t>
                    </m:r>
                  </m:sub>
                </m:sSub>
                <m:r>
                  <w:rPr>
                    <w:rFonts w:ascii="Cambria Math" w:eastAsiaTheme="minorEastAsia" w:hAnsi="Cambria Math"/>
                    <w:sz w:val="24"/>
                    <w:szCs w:val="24"/>
                    <w:lang w:eastAsia="zh-CN"/>
                  </w:rPr>
                  <m:t xml:space="preserve">×R×v </m:t>
                </m:r>
              </m:num>
              <m:den>
                <m:r>
                  <m:rPr>
                    <m:sty m:val="p"/>
                  </m:rPr>
                  <w:rPr>
                    <w:rFonts w:ascii="Cambria Math" w:eastAsiaTheme="minorEastAsia" w:hAnsi="Cambria Math"/>
                    <w:sz w:val="24"/>
                    <w:szCs w:val="24"/>
                    <w:lang w:eastAsia="zh-CN"/>
                  </w:rPr>
                  <m:t xml:space="preserve">8* </m:t>
                </m:r>
                <m:d>
                  <m:dPr>
                    <m:begChr m:val="⌈"/>
                    <m:endChr m:val="⌉"/>
                    <m:ctrlPr>
                      <w:rPr>
                        <w:rFonts w:ascii="Cambria Math" w:eastAsiaTheme="minorEastAsia" w:hAnsi="Cambria Math"/>
                        <w:sz w:val="24"/>
                        <w:szCs w:val="24"/>
                        <w:lang w:eastAsia="zh-CN"/>
                      </w:rPr>
                    </m:ctrlPr>
                  </m:dPr>
                  <m:e>
                    <m:f>
                      <m:fPr>
                        <m:ctrlPr>
                          <w:rPr>
                            <w:rFonts w:ascii="Cambria Math" w:eastAsiaTheme="minorEastAsia" w:hAnsi="Cambria Math"/>
                            <w:sz w:val="24"/>
                            <w:szCs w:val="24"/>
                            <w:lang w:eastAsia="zh-CN"/>
                          </w:rPr>
                        </m:ctrlPr>
                      </m:fPr>
                      <m:num>
                        <m:sSub>
                          <m:sSubPr>
                            <m:ctrlPr>
                              <w:rPr>
                                <w:rFonts w:ascii="Cambria Math" w:eastAsiaTheme="minorEastAsia" w:hAnsi="Cambria Math"/>
                                <w:i/>
                                <w:sz w:val="24"/>
                                <w:szCs w:val="24"/>
                                <w:lang w:eastAsia="zh-CN"/>
                              </w:rPr>
                            </m:ctrlPr>
                          </m:sSubPr>
                          <m:e>
                            <m:r>
                              <w:rPr>
                                <w:rFonts w:ascii="Cambria Math" w:eastAsiaTheme="minorEastAsia" w:hAnsi="Cambria Math"/>
                                <w:sz w:val="24"/>
                                <w:szCs w:val="24"/>
                                <w:lang w:eastAsia="zh-CN"/>
                              </w:rPr>
                              <m:t>N</m:t>
                            </m:r>
                          </m:e>
                          <m:sub>
                            <m:r>
                              <w:rPr>
                                <w:rFonts w:ascii="Cambria Math" w:eastAsiaTheme="minorEastAsia" w:hAnsi="Cambria Math"/>
                                <w:sz w:val="24"/>
                                <w:szCs w:val="24"/>
                                <w:lang w:eastAsia="zh-CN"/>
                              </w:rPr>
                              <m:t>RE</m:t>
                            </m:r>
                          </m:sub>
                        </m:sSub>
                        <m:r>
                          <w:rPr>
                            <w:rFonts w:ascii="Cambria Math" w:eastAsiaTheme="minorEastAsia" w:hAnsi="Cambria Math"/>
                            <w:sz w:val="24"/>
                            <w:szCs w:val="24"/>
                            <w:lang w:eastAsia="zh-CN"/>
                          </w:rPr>
                          <m:t>×</m:t>
                        </m:r>
                        <m:sSub>
                          <m:sSubPr>
                            <m:ctrlPr>
                              <w:rPr>
                                <w:rFonts w:ascii="Cambria Math" w:eastAsiaTheme="minorEastAsia" w:hAnsi="Cambria Math"/>
                                <w:i/>
                                <w:sz w:val="24"/>
                                <w:szCs w:val="24"/>
                                <w:lang w:eastAsia="zh-CN"/>
                              </w:rPr>
                            </m:ctrlPr>
                          </m:sSubPr>
                          <m:e>
                            <m:r>
                              <w:rPr>
                                <w:rFonts w:ascii="Cambria Math" w:eastAsiaTheme="minorEastAsia" w:hAnsi="Cambria Math"/>
                                <w:sz w:val="24"/>
                                <w:szCs w:val="24"/>
                                <w:lang w:eastAsia="zh-CN"/>
                              </w:rPr>
                              <m:t>Q</m:t>
                            </m:r>
                          </m:e>
                          <m:sub>
                            <m:r>
                              <w:rPr>
                                <w:rFonts w:ascii="Cambria Math" w:eastAsiaTheme="minorEastAsia" w:hAnsi="Cambria Math"/>
                                <w:sz w:val="24"/>
                                <w:szCs w:val="24"/>
                                <w:lang w:eastAsia="zh-CN"/>
                              </w:rPr>
                              <m:t>m</m:t>
                            </m:r>
                          </m:sub>
                        </m:sSub>
                        <m:r>
                          <w:rPr>
                            <w:rFonts w:ascii="Cambria Math" w:eastAsiaTheme="minorEastAsia" w:hAnsi="Cambria Math"/>
                            <w:sz w:val="24"/>
                            <w:szCs w:val="24"/>
                            <w:lang w:eastAsia="zh-CN"/>
                          </w:rPr>
                          <m:t xml:space="preserve">×R×v </m:t>
                        </m:r>
                        <m:r>
                          <m:rPr>
                            <m:sty m:val="p"/>
                          </m:rPr>
                          <w:rPr>
                            <w:rFonts w:ascii="Cambria Math" w:eastAsiaTheme="minorEastAsia" w:hAnsi="Cambria Math"/>
                            <w:sz w:val="24"/>
                            <w:szCs w:val="24"/>
                            <w:lang w:eastAsia="zh-CN"/>
                          </w:rPr>
                          <m:t>+24</m:t>
                        </m:r>
                      </m:num>
                      <m:den>
                        <m:r>
                          <m:rPr>
                            <m:sty m:val="p"/>
                          </m:rPr>
                          <w:rPr>
                            <w:rFonts w:ascii="Cambria Math" w:eastAsiaTheme="minorEastAsia" w:hAnsi="Cambria Math"/>
                            <w:sz w:val="24"/>
                            <w:szCs w:val="24"/>
                            <w:lang w:eastAsia="zh-CN"/>
                          </w:rPr>
                          <m:t>8424</m:t>
                        </m:r>
                      </m:den>
                    </m:f>
                  </m:e>
                </m:d>
              </m:den>
            </m:f>
          </m:e>
        </m:d>
        <m:r>
          <w:rPr>
            <w:rFonts w:ascii="Cambria Math" w:eastAsiaTheme="minorEastAsia" w:hAnsi="Cambria Math"/>
            <w:sz w:val="24"/>
            <w:szCs w:val="24"/>
            <w:lang w:eastAsia="zh-CN"/>
          </w:rPr>
          <m:t xml:space="preserve">* </m:t>
        </m:r>
        <m:r>
          <m:rPr>
            <m:sty m:val="p"/>
          </m:rPr>
          <w:rPr>
            <w:rFonts w:ascii="Cambria Math" w:eastAsiaTheme="minorEastAsia" w:hAnsi="Cambria Math"/>
            <w:sz w:val="24"/>
            <w:szCs w:val="24"/>
            <w:lang w:eastAsia="zh-CN"/>
          </w:rPr>
          <m:t xml:space="preserve">8* </m:t>
        </m:r>
        <m:d>
          <m:dPr>
            <m:begChr m:val="⌈"/>
            <m:endChr m:val="⌉"/>
            <m:ctrlPr>
              <w:rPr>
                <w:rFonts w:ascii="Cambria Math" w:eastAsiaTheme="minorEastAsia" w:hAnsi="Cambria Math"/>
                <w:sz w:val="24"/>
                <w:szCs w:val="24"/>
                <w:lang w:eastAsia="zh-CN"/>
              </w:rPr>
            </m:ctrlPr>
          </m:dPr>
          <m:e>
            <m:f>
              <m:fPr>
                <m:ctrlPr>
                  <w:rPr>
                    <w:rFonts w:ascii="Cambria Math" w:eastAsiaTheme="minorEastAsia" w:hAnsi="Cambria Math"/>
                    <w:sz w:val="24"/>
                    <w:szCs w:val="24"/>
                    <w:lang w:eastAsia="zh-CN"/>
                  </w:rPr>
                </m:ctrlPr>
              </m:fPr>
              <m:num>
                <m:sSub>
                  <m:sSubPr>
                    <m:ctrlPr>
                      <w:rPr>
                        <w:rFonts w:ascii="Cambria Math" w:eastAsiaTheme="minorEastAsia" w:hAnsi="Cambria Math"/>
                        <w:i/>
                        <w:sz w:val="24"/>
                        <w:szCs w:val="24"/>
                        <w:lang w:eastAsia="zh-CN"/>
                      </w:rPr>
                    </m:ctrlPr>
                  </m:sSubPr>
                  <m:e>
                    <m:r>
                      <w:rPr>
                        <w:rFonts w:ascii="Cambria Math" w:eastAsiaTheme="minorEastAsia" w:hAnsi="Cambria Math"/>
                        <w:sz w:val="24"/>
                        <w:szCs w:val="24"/>
                        <w:lang w:eastAsia="zh-CN"/>
                      </w:rPr>
                      <m:t>N</m:t>
                    </m:r>
                  </m:e>
                  <m:sub>
                    <m:r>
                      <w:rPr>
                        <w:rFonts w:ascii="Cambria Math" w:eastAsiaTheme="minorEastAsia" w:hAnsi="Cambria Math"/>
                        <w:sz w:val="24"/>
                        <w:szCs w:val="24"/>
                        <w:lang w:eastAsia="zh-CN"/>
                      </w:rPr>
                      <m:t>RE</m:t>
                    </m:r>
                  </m:sub>
                </m:sSub>
                <m:r>
                  <w:rPr>
                    <w:rFonts w:ascii="Cambria Math" w:eastAsiaTheme="minorEastAsia" w:hAnsi="Cambria Math"/>
                    <w:sz w:val="24"/>
                    <w:szCs w:val="24"/>
                    <w:lang w:eastAsia="zh-CN"/>
                  </w:rPr>
                  <m:t>×</m:t>
                </m:r>
                <m:sSub>
                  <m:sSubPr>
                    <m:ctrlPr>
                      <w:rPr>
                        <w:rFonts w:ascii="Cambria Math" w:eastAsiaTheme="minorEastAsia" w:hAnsi="Cambria Math"/>
                        <w:i/>
                        <w:sz w:val="24"/>
                        <w:szCs w:val="24"/>
                        <w:lang w:eastAsia="zh-CN"/>
                      </w:rPr>
                    </m:ctrlPr>
                  </m:sSubPr>
                  <m:e>
                    <m:r>
                      <w:rPr>
                        <w:rFonts w:ascii="Cambria Math" w:eastAsiaTheme="minorEastAsia" w:hAnsi="Cambria Math"/>
                        <w:sz w:val="24"/>
                        <w:szCs w:val="24"/>
                        <w:lang w:eastAsia="zh-CN"/>
                      </w:rPr>
                      <m:t>Q</m:t>
                    </m:r>
                  </m:e>
                  <m:sub>
                    <m:r>
                      <w:rPr>
                        <w:rFonts w:ascii="Cambria Math" w:eastAsiaTheme="minorEastAsia" w:hAnsi="Cambria Math"/>
                        <w:sz w:val="24"/>
                        <w:szCs w:val="24"/>
                        <w:lang w:eastAsia="zh-CN"/>
                      </w:rPr>
                      <m:t>m</m:t>
                    </m:r>
                  </m:sub>
                </m:sSub>
                <m:r>
                  <w:rPr>
                    <w:rFonts w:ascii="Cambria Math" w:eastAsiaTheme="minorEastAsia" w:hAnsi="Cambria Math"/>
                    <w:sz w:val="24"/>
                    <w:szCs w:val="24"/>
                    <w:lang w:eastAsia="zh-CN"/>
                  </w:rPr>
                  <m:t xml:space="preserve">×R×v </m:t>
                </m:r>
                <m:r>
                  <m:rPr>
                    <m:sty m:val="p"/>
                  </m:rPr>
                  <w:rPr>
                    <w:rFonts w:ascii="Cambria Math" w:eastAsiaTheme="minorEastAsia" w:hAnsi="Cambria Math"/>
                    <w:sz w:val="24"/>
                    <w:szCs w:val="24"/>
                    <w:lang w:eastAsia="zh-CN"/>
                  </w:rPr>
                  <m:t>+24</m:t>
                </m:r>
              </m:num>
              <m:den>
                <m:r>
                  <m:rPr>
                    <m:sty m:val="p"/>
                  </m:rPr>
                  <w:rPr>
                    <w:rFonts w:ascii="Cambria Math" w:eastAsiaTheme="minorEastAsia" w:hAnsi="Cambria Math"/>
                    <w:sz w:val="24"/>
                    <w:szCs w:val="24"/>
                    <w:lang w:eastAsia="zh-CN"/>
                  </w:rPr>
                  <m:t>8424</m:t>
                </m:r>
              </m:den>
            </m:f>
          </m:e>
        </m:d>
      </m:oMath>
    </w:p>
    <w:p w14:paraId="7368411C" w14:textId="77777777" w:rsidR="00704495" w:rsidRPr="005F717C" w:rsidRDefault="00704495" w:rsidP="00704495">
      <w:pPr>
        <w:jc w:val="both"/>
        <w:rPr>
          <w:szCs w:val="24"/>
          <w:lang w:val="en-US"/>
        </w:rPr>
      </w:pPr>
    </w:p>
    <w:p w14:paraId="0196C7F6" w14:textId="77777777" w:rsidR="00704495" w:rsidRPr="005F717C" w:rsidRDefault="3E61DC49" w:rsidP="3E61DC49">
      <w:pPr>
        <w:jc w:val="both"/>
        <w:rPr>
          <w:lang w:val="en-US"/>
        </w:rPr>
      </w:pPr>
      <w:r w:rsidRPr="3E61DC49">
        <w:rPr>
          <w:lang w:val="en-US"/>
        </w:rPr>
        <w:t xml:space="preserve">where, </w:t>
      </w:r>
    </w:p>
    <w:p w14:paraId="1081D45A" w14:textId="77777777" w:rsidR="00704495" w:rsidRPr="005F717C" w:rsidRDefault="00442DE1" w:rsidP="3E61DC49">
      <w:pPr>
        <w:jc w:val="both"/>
        <w:rPr>
          <w:rFonts w:eastAsia="Times New Roman"/>
          <w:lang w:val="en-US"/>
        </w:rPr>
      </w:pPr>
      <m:oMath>
        <m:sSub>
          <m:sSubPr>
            <m:ctrlPr>
              <w:rPr>
                <w:rFonts w:ascii="Cambria Math" w:eastAsiaTheme="minorEastAsia" w:hAnsi="Cambria Math"/>
                <w:i/>
                <w:szCs w:val="24"/>
                <w:lang w:eastAsia="zh-CN"/>
              </w:rPr>
            </m:ctrlPr>
          </m:sSubPr>
          <m:e>
            <m:r>
              <w:rPr>
                <w:rFonts w:ascii="Cambria Math" w:eastAsiaTheme="minorEastAsia" w:hAnsi="Cambria Math"/>
                <w:szCs w:val="24"/>
                <w:lang w:eastAsia="zh-CN"/>
              </w:rPr>
              <m:t>N</m:t>
            </m:r>
          </m:e>
          <m:sub>
            <m:r>
              <w:rPr>
                <w:rFonts w:ascii="Cambria Math" w:eastAsiaTheme="minorEastAsia" w:hAnsi="Cambria Math"/>
                <w:szCs w:val="24"/>
                <w:lang w:eastAsia="zh-CN"/>
              </w:rPr>
              <m:t>RE</m:t>
            </m:r>
          </m:sub>
        </m:sSub>
      </m:oMath>
      <w:r w:rsidR="00704495" w:rsidRPr="3E61DC49">
        <w:rPr>
          <w:lang w:val="en-US"/>
        </w:rPr>
        <w:t xml:space="preserve"> = Resource elements </w:t>
      </w:r>
    </w:p>
    <w:p w14:paraId="5FBC4C13" w14:textId="77777777" w:rsidR="00704495" w:rsidRPr="005F717C" w:rsidRDefault="00442DE1" w:rsidP="3E61DC49">
      <w:pPr>
        <w:jc w:val="both"/>
        <w:rPr>
          <w:lang w:val="en-US"/>
        </w:rPr>
      </w:pPr>
      <m:oMath>
        <m:sSub>
          <m:sSubPr>
            <m:ctrlPr>
              <w:rPr>
                <w:rFonts w:ascii="Cambria Math" w:eastAsiaTheme="minorEastAsia" w:hAnsi="Cambria Math"/>
                <w:i/>
                <w:szCs w:val="24"/>
                <w:lang w:eastAsia="zh-CN"/>
              </w:rPr>
            </m:ctrlPr>
          </m:sSubPr>
          <m:e>
            <m:r>
              <w:rPr>
                <w:rFonts w:ascii="Cambria Math" w:eastAsiaTheme="minorEastAsia" w:hAnsi="Cambria Math"/>
                <w:szCs w:val="24"/>
                <w:lang w:eastAsia="zh-CN"/>
              </w:rPr>
              <m:t>Q</m:t>
            </m:r>
          </m:e>
          <m:sub>
            <m:r>
              <w:rPr>
                <w:rFonts w:ascii="Cambria Math" w:eastAsiaTheme="minorEastAsia" w:hAnsi="Cambria Math"/>
                <w:szCs w:val="24"/>
                <w:lang w:eastAsia="zh-CN"/>
              </w:rPr>
              <m:t>m</m:t>
            </m:r>
          </m:sub>
        </m:sSub>
      </m:oMath>
      <w:r w:rsidR="00704495" w:rsidRPr="3E61DC49">
        <w:rPr>
          <w:lang w:val="en-US"/>
        </w:rPr>
        <w:t xml:space="preserve"> = Modulation order</w:t>
      </w:r>
    </w:p>
    <w:p w14:paraId="55BF4FE7" w14:textId="77777777" w:rsidR="00704495" w:rsidRPr="005F717C" w:rsidRDefault="00704495" w:rsidP="3E61DC49">
      <w:pPr>
        <w:jc w:val="both"/>
        <w:rPr>
          <w:lang w:val="en-US"/>
        </w:rPr>
      </w:pPr>
      <m:oMath>
        <m:r>
          <w:rPr>
            <w:rFonts w:ascii="Cambria Math" w:eastAsiaTheme="minorEastAsia" w:hAnsi="Cambria Math"/>
            <w:szCs w:val="24"/>
            <w:lang w:eastAsia="zh-CN"/>
          </w:rPr>
          <m:t>R</m:t>
        </m:r>
      </m:oMath>
      <w:r w:rsidRPr="3E61DC49">
        <w:rPr>
          <w:lang w:val="en-US"/>
        </w:rPr>
        <w:t xml:space="preserve"> = code rate </w:t>
      </w:r>
    </w:p>
    <w:p w14:paraId="27692EBB" w14:textId="77777777" w:rsidR="00704495" w:rsidRPr="005F717C" w:rsidRDefault="00704495" w:rsidP="3E61DC49">
      <w:pPr>
        <w:jc w:val="both"/>
        <w:rPr>
          <w:lang w:val="en-US"/>
        </w:rPr>
      </w:pPr>
      <m:oMath>
        <m:r>
          <w:rPr>
            <w:rFonts w:ascii="Cambria Math" w:eastAsiaTheme="minorEastAsia" w:hAnsi="Cambria Math"/>
            <w:szCs w:val="24"/>
            <w:lang w:eastAsia="zh-CN"/>
          </w:rPr>
          <m:t>v</m:t>
        </m:r>
      </m:oMath>
      <w:r w:rsidRPr="3E61DC49">
        <w:rPr>
          <w:lang w:val="en-US"/>
        </w:rPr>
        <w:t xml:space="preserve"> = number of layers  </w:t>
      </w:r>
    </w:p>
    <w:p w14:paraId="09327F4C" w14:textId="77777777" w:rsidR="00704495" w:rsidRDefault="10E807B4" w:rsidP="10E807B4">
      <w:pPr>
        <w:jc w:val="both"/>
        <w:rPr>
          <w:lang w:val="en-US"/>
        </w:rPr>
      </w:pPr>
      <w:r w:rsidRPr="10E807B4">
        <w:rPr>
          <w:lang w:val="en-US"/>
        </w:rPr>
        <w:t xml:space="preserve">As the number of REs is used for the calculation, the gNB and the UE need to have common understanding on the definition. This will likely require some pre-known assumptions on the overhead. </w:t>
      </w:r>
    </w:p>
    <w:p w14:paraId="714A4566" w14:textId="4137EC68" w:rsidR="00704495" w:rsidRPr="005F717C" w:rsidRDefault="32975CEE" w:rsidP="32975CEE">
      <w:pPr>
        <w:jc w:val="both"/>
        <w:rPr>
          <w:i/>
          <w:iCs/>
        </w:rPr>
      </w:pPr>
      <w:r w:rsidRPr="32975CEE">
        <w:rPr>
          <w:b/>
          <w:bCs/>
          <w:i/>
          <w:iCs/>
        </w:rPr>
        <w:t>Proposal 1</w:t>
      </w:r>
      <w:r w:rsidR="00C95609">
        <w:rPr>
          <w:b/>
          <w:bCs/>
          <w:i/>
          <w:iCs/>
        </w:rPr>
        <w:t>7</w:t>
      </w:r>
      <w:r w:rsidRPr="32975CEE">
        <w:rPr>
          <w:b/>
          <w:bCs/>
          <w:i/>
          <w:iCs/>
        </w:rPr>
        <w:t xml:space="preserve">: </w:t>
      </w:r>
      <w:r w:rsidRPr="32975CEE">
        <w:rPr>
          <w:i/>
          <w:iCs/>
        </w:rPr>
        <w:t xml:space="preserve">The following pre-defined formula shall be used to determine the TBS. </w:t>
      </w:r>
    </w:p>
    <w:p w14:paraId="49553C23" w14:textId="77777777" w:rsidR="00704495" w:rsidRPr="005F717C" w:rsidRDefault="00704495" w:rsidP="3E61DC49">
      <w:pPr>
        <w:pStyle w:val="BodyText"/>
        <w:jc w:val="both"/>
        <w:rPr>
          <w:rFonts w:eastAsiaTheme="minorEastAsia"/>
          <w:i/>
          <w:iCs/>
          <w:lang w:eastAsia="zh-CN"/>
        </w:rPr>
      </w:pPr>
      <w:r>
        <w:rPr>
          <w:i/>
        </w:rPr>
        <w:tab/>
      </w:r>
      <w:r w:rsidRPr="005F717C">
        <w:rPr>
          <w:i/>
        </w:rPr>
        <w:tab/>
      </w:r>
      <w:r w:rsidRPr="3E61DC49">
        <w:rPr>
          <w:rFonts w:eastAsiaTheme="minorEastAsia"/>
          <w:i/>
          <w:iCs/>
          <w:lang w:eastAsia="zh-CN"/>
        </w:rPr>
        <w:t xml:space="preserve">TBS = </w:t>
      </w:r>
      <m:oMath>
        <m:d>
          <m:dPr>
            <m:begChr m:val="⌈"/>
            <m:endChr m:val="⌉"/>
            <m:ctrlPr>
              <w:rPr>
                <w:rFonts w:ascii="Cambria Math" w:eastAsiaTheme="minorEastAsia" w:hAnsi="Cambria Math"/>
                <w:i/>
                <w:lang w:eastAsia="zh-CN"/>
              </w:rPr>
            </m:ctrlPr>
          </m:dPr>
          <m:e>
            <m:f>
              <m:fPr>
                <m:ctrlPr>
                  <w:rPr>
                    <w:rFonts w:ascii="Cambria Math" w:eastAsiaTheme="minorEastAsia" w:hAnsi="Cambria Math"/>
                    <w:i/>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RE</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Q</m:t>
                    </m:r>
                  </m:e>
                  <m:sub>
                    <m:r>
                      <w:rPr>
                        <w:rFonts w:ascii="Cambria Math" w:eastAsiaTheme="minorEastAsia" w:hAnsi="Cambria Math"/>
                        <w:lang w:eastAsia="zh-CN"/>
                      </w:rPr>
                      <m:t>m</m:t>
                    </m:r>
                  </m:sub>
                </m:sSub>
                <m:r>
                  <w:rPr>
                    <w:rFonts w:ascii="Cambria Math" w:eastAsiaTheme="minorEastAsia" w:hAnsi="Cambria Math"/>
                    <w:lang w:eastAsia="zh-CN"/>
                  </w:rPr>
                  <m:t xml:space="preserve">×R×v </m:t>
                </m:r>
              </m:num>
              <m:den>
                <m:r>
                  <w:rPr>
                    <w:rFonts w:ascii="Cambria Math" w:eastAsiaTheme="minorEastAsia" w:hAnsi="Cambria Math"/>
                    <w:lang w:eastAsia="zh-CN"/>
                  </w:rPr>
                  <m:t xml:space="preserve">8* </m:t>
                </m:r>
                <m:d>
                  <m:dPr>
                    <m:begChr m:val="⌈"/>
                    <m:endChr m:val="⌉"/>
                    <m:ctrlPr>
                      <w:rPr>
                        <w:rFonts w:ascii="Cambria Math" w:eastAsiaTheme="minorEastAsia" w:hAnsi="Cambria Math"/>
                        <w:i/>
                        <w:lang w:eastAsia="zh-CN"/>
                      </w:rPr>
                    </m:ctrlPr>
                  </m:dPr>
                  <m:e>
                    <m:f>
                      <m:fPr>
                        <m:ctrlPr>
                          <w:rPr>
                            <w:rFonts w:ascii="Cambria Math" w:eastAsiaTheme="minorEastAsia" w:hAnsi="Cambria Math"/>
                            <w:i/>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RE</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Q</m:t>
                            </m:r>
                          </m:e>
                          <m:sub>
                            <m:r>
                              <w:rPr>
                                <w:rFonts w:ascii="Cambria Math" w:eastAsiaTheme="minorEastAsia" w:hAnsi="Cambria Math"/>
                                <w:lang w:eastAsia="zh-CN"/>
                              </w:rPr>
                              <m:t>m</m:t>
                            </m:r>
                          </m:sub>
                        </m:sSub>
                        <m:r>
                          <w:rPr>
                            <w:rFonts w:ascii="Cambria Math" w:eastAsiaTheme="minorEastAsia" w:hAnsi="Cambria Math"/>
                            <w:lang w:eastAsia="zh-CN"/>
                          </w:rPr>
                          <m:t>×R×v +24</m:t>
                        </m:r>
                      </m:num>
                      <m:den>
                        <m:r>
                          <w:rPr>
                            <w:rFonts w:ascii="Cambria Math" w:eastAsiaTheme="minorEastAsia" w:hAnsi="Cambria Math"/>
                            <w:lang w:eastAsia="zh-CN"/>
                          </w:rPr>
                          <m:t>8424</m:t>
                        </m:r>
                      </m:den>
                    </m:f>
                  </m:e>
                </m:d>
              </m:den>
            </m:f>
          </m:e>
        </m:d>
        <m:r>
          <w:rPr>
            <w:rFonts w:ascii="Cambria Math" w:eastAsiaTheme="minorEastAsia" w:hAnsi="Cambria Math"/>
            <w:lang w:eastAsia="zh-CN"/>
          </w:rPr>
          <m:t xml:space="preserve">* 8* </m:t>
        </m:r>
        <m:d>
          <m:dPr>
            <m:begChr m:val="⌈"/>
            <m:endChr m:val="⌉"/>
            <m:ctrlPr>
              <w:rPr>
                <w:rFonts w:ascii="Cambria Math" w:eastAsiaTheme="minorEastAsia" w:hAnsi="Cambria Math"/>
                <w:i/>
                <w:lang w:eastAsia="zh-CN"/>
              </w:rPr>
            </m:ctrlPr>
          </m:dPr>
          <m:e>
            <m:f>
              <m:fPr>
                <m:ctrlPr>
                  <w:rPr>
                    <w:rFonts w:ascii="Cambria Math" w:eastAsiaTheme="minorEastAsia" w:hAnsi="Cambria Math"/>
                    <w:i/>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RE</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Q</m:t>
                    </m:r>
                  </m:e>
                  <m:sub>
                    <m:r>
                      <w:rPr>
                        <w:rFonts w:ascii="Cambria Math" w:eastAsiaTheme="minorEastAsia" w:hAnsi="Cambria Math"/>
                        <w:lang w:eastAsia="zh-CN"/>
                      </w:rPr>
                      <m:t>m</m:t>
                    </m:r>
                  </m:sub>
                </m:sSub>
                <m:r>
                  <w:rPr>
                    <w:rFonts w:ascii="Cambria Math" w:eastAsiaTheme="minorEastAsia" w:hAnsi="Cambria Math"/>
                    <w:lang w:eastAsia="zh-CN"/>
                  </w:rPr>
                  <m:t>×R×v +24</m:t>
                </m:r>
              </m:num>
              <m:den>
                <m:r>
                  <w:rPr>
                    <w:rFonts w:ascii="Cambria Math" w:eastAsiaTheme="minorEastAsia" w:hAnsi="Cambria Math"/>
                    <w:lang w:eastAsia="zh-CN"/>
                  </w:rPr>
                  <m:t>8424</m:t>
                </m:r>
              </m:den>
            </m:f>
          </m:e>
        </m:d>
      </m:oMath>
      <w:r w:rsidRPr="3E61DC49">
        <w:rPr>
          <w:rFonts w:eastAsiaTheme="minorEastAsia"/>
          <w:i/>
          <w:iCs/>
          <w:lang w:eastAsia="zh-CN"/>
        </w:rPr>
        <w:t>,</w:t>
      </w:r>
    </w:p>
    <w:p w14:paraId="65F0DBB6" w14:textId="77777777" w:rsidR="00704495" w:rsidRPr="005F717C" w:rsidRDefault="00704495" w:rsidP="3E61DC49">
      <w:pPr>
        <w:jc w:val="both"/>
        <w:rPr>
          <w:i/>
          <w:iCs/>
          <w:lang w:val="en-US"/>
        </w:rPr>
      </w:pPr>
      <w:r w:rsidRPr="3E61DC49">
        <w:rPr>
          <w:rFonts w:eastAsiaTheme="minorEastAsia"/>
          <w:i/>
          <w:iCs/>
          <w:lang w:eastAsia="zh-CN"/>
        </w:rPr>
        <w:t xml:space="preserve">where,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RE</m:t>
            </m:r>
          </m:sub>
        </m:sSub>
      </m:oMath>
      <w:r w:rsidRPr="3E61DC49">
        <w:rPr>
          <w:i/>
          <w:iCs/>
          <w:lang w:val="en-US"/>
        </w:rPr>
        <w:t xml:space="preserve"> = Resource elements, </w:t>
      </w:r>
      <m:oMath>
        <m:sSub>
          <m:sSubPr>
            <m:ctrlPr>
              <w:rPr>
                <w:rFonts w:ascii="Cambria Math" w:eastAsiaTheme="minorEastAsia" w:hAnsi="Cambria Math"/>
                <w:i/>
                <w:lang w:eastAsia="zh-CN"/>
              </w:rPr>
            </m:ctrlPr>
          </m:sSubPr>
          <m:e>
            <m:r>
              <w:rPr>
                <w:rFonts w:ascii="Cambria Math" w:eastAsiaTheme="minorEastAsia" w:hAnsi="Cambria Math"/>
                <w:lang w:eastAsia="zh-CN"/>
              </w:rPr>
              <m:t>Q</m:t>
            </m:r>
          </m:e>
          <m:sub>
            <m:r>
              <w:rPr>
                <w:rFonts w:ascii="Cambria Math" w:eastAsiaTheme="minorEastAsia" w:hAnsi="Cambria Math"/>
                <w:lang w:eastAsia="zh-CN"/>
              </w:rPr>
              <m:t>m</m:t>
            </m:r>
          </m:sub>
        </m:sSub>
      </m:oMath>
      <w:r w:rsidRPr="3E61DC49">
        <w:rPr>
          <w:i/>
          <w:iCs/>
          <w:lang w:val="en-US"/>
        </w:rPr>
        <w:t xml:space="preserve"> = Modulation order, </w:t>
      </w:r>
      <m:oMath>
        <m:r>
          <w:rPr>
            <w:rFonts w:ascii="Cambria Math" w:eastAsiaTheme="minorEastAsia" w:hAnsi="Cambria Math"/>
            <w:lang w:eastAsia="zh-CN"/>
          </w:rPr>
          <m:t>R</m:t>
        </m:r>
      </m:oMath>
      <w:r w:rsidRPr="3E61DC49">
        <w:rPr>
          <w:i/>
          <w:iCs/>
          <w:lang w:val="en-US"/>
        </w:rPr>
        <w:t xml:space="preserve"> = code rate, and </w:t>
      </w:r>
      <m:oMath>
        <m:r>
          <w:rPr>
            <w:rFonts w:ascii="Cambria Math" w:eastAsiaTheme="minorEastAsia" w:hAnsi="Cambria Math"/>
            <w:lang w:eastAsia="zh-CN"/>
          </w:rPr>
          <m:t>v</m:t>
        </m:r>
      </m:oMath>
      <w:r w:rsidRPr="3E61DC49">
        <w:rPr>
          <w:i/>
          <w:iCs/>
          <w:lang w:val="en-US"/>
        </w:rPr>
        <w:t xml:space="preserve"> = number of layers  </w:t>
      </w:r>
    </w:p>
    <w:p w14:paraId="30320745" w14:textId="77777777" w:rsidR="00704495" w:rsidRDefault="00704495" w:rsidP="00704495"/>
    <w:p w14:paraId="0A4DAA73" w14:textId="77777777" w:rsidR="00704495" w:rsidRPr="000717FB" w:rsidRDefault="00704495" w:rsidP="3E61DC49">
      <w:pPr>
        <w:pStyle w:val="Heading2"/>
        <w:rPr>
          <w:rFonts w:cs="Arial"/>
          <w:szCs w:val="28"/>
        </w:rPr>
      </w:pPr>
      <w:r w:rsidRPr="000717FB">
        <w:rPr>
          <w:rFonts w:cs="Arial"/>
          <w:szCs w:val="28"/>
          <w:lang w:eastAsia="zh-CN"/>
        </w:rPr>
        <w:t>5</w:t>
      </w:r>
      <w:r w:rsidRPr="000717FB">
        <w:rPr>
          <w:rFonts w:cs="Arial"/>
          <w:szCs w:val="28"/>
        </w:rPr>
        <w:t>.</w:t>
      </w:r>
      <w:r w:rsidRPr="000717FB">
        <w:rPr>
          <w:rFonts w:cs="Arial"/>
          <w:szCs w:val="28"/>
          <w:lang w:eastAsia="zh-CN"/>
        </w:rPr>
        <w:t>1</w:t>
      </w:r>
      <w:r w:rsidRPr="000717FB">
        <w:rPr>
          <w:rFonts w:cs="Arial"/>
        </w:rPr>
        <w:tab/>
      </w:r>
      <w:r w:rsidRPr="000717FB">
        <w:rPr>
          <w:rFonts w:cs="Arial"/>
          <w:szCs w:val="28"/>
        </w:rPr>
        <w:t>TBS determination: support of slot aggregation</w:t>
      </w:r>
    </w:p>
    <w:p w14:paraId="6090C316" w14:textId="77777777" w:rsidR="00704495" w:rsidRDefault="3E61DC49" w:rsidP="3E61DC49">
      <w:pPr>
        <w:rPr>
          <w:rFonts w:eastAsiaTheme="minorEastAsia"/>
        </w:rPr>
      </w:pPr>
      <w:r>
        <w:t>Although we have agreed to support a data transmission spanning multiple slots using a single DCI, we have not defined how TB(s) would be mapped to these multiple slots.</w:t>
      </w:r>
    </w:p>
    <w:p w14:paraId="2C98FD82" w14:textId="77777777" w:rsidR="00704495" w:rsidRDefault="3E61DC49" w:rsidP="00704495">
      <w:r>
        <w:t>The two basic options are:</w:t>
      </w:r>
    </w:p>
    <w:p w14:paraId="044227E4" w14:textId="77777777" w:rsidR="00704495" w:rsidRPr="0052773A" w:rsidRDefault="3E61DC49" w:rsidP="3E61DC49">
      <w:pPr>
        <w:pStyle w:val="ListParagraph"/>
        <w:numPr>
          <w:ilvl w:val="0"/>
          <w:numId w:val="17"/>
        </w:numPr>
        <w:spacing w:line="256" w:lineRule="auto"/>
        <w:rPr>
          <w:sz w:val="20"/>
          <w:szCs w:val="20"/>
          <w:lang w:val="en-US"/>
        </w:rPr>
      </w:pPr>
      <w:r w:rsidRPr="3E61DC49">
        <w:rPr>
          <w:sz w:val="20"/>
          <w:szCs w:val="20"/>
          <w:lang w:val="en-US"/>
        </w:rPr>
        <w:t>Option 1: one TB is mapped to multiple slots</w:t>
      </w:r>
    </w:p>
    <w:p w14:paraId="79010A20" w14:textId="77777777" w:rsidR="00704495" w:rsidRPr="0052773A" w:rsidRDefault="3E61DC49" w:rsidP="3E61DC49">
      <w:pPr>
        <w:pStyle w:val="ListParagraph"/>
        <w:numPr>
          <w:ilvl w:val="1"/>
          <w:numId w:val="17"/>
        </w:numPr>
        <w:spacing w:line="256" w:lineRule="auto"/>
        <w:rPr>
          <w:sz w:val="20"/>
          <w:szCs w:val="20"/>
          <w:lang w:val="en-US"/>
        </w:rPr>
      </w:pPr>
      <w:r w:rsidRPr="3E61DC49">
        <w:rPr>
          <w:sz w:val="20"/>
          <w:szCs w:val="20"/>
          <w:lang w:val="en-US"/>
        </w:rPr>
        <w:t>Option 1a: the TBS is determined in the same way as in single-slot scheduling. The main purpose is to provide extended coverage or improve the latency/reliability.</w:t>
      </w:r>
    </w:p>
    <w:p w14:paraId="37EE6596" w14:textId="77777777" w:rsidR="00704495" w:rsidRDefault="10E807B4" w:rsidP="10E807B4">
      <w:pPr>
        <w:pStyle w:val="ListParagraph"/>
        <w:numPr>
          <w:ilvl w:val="1"/>
          <w:numId w:val="17"/>
        </w:numPr>
        <w:spacing w:line="256" w:lineRule="auto"/>
        <w:rPr>
          <w:sz w:val="20"/>
          <w:szCs w:val="20"/>
        </w:rPr>
      </w:pPr>
      <w:r w:rsidRPr="10E807B4">
        <w:rPr>
          <w:sz w:val="20"/>
          <w:szCs w:val="20"/>
          <w:lang w:val="en-US"/>
        </w:rPr>
        <w:t xml:space="preserve">Option 1b: the TBS is scaled up based on the number of slots being scheduled. </w:t>
      </w:r>
      <w:r w:rsidRPr="10E807B4">
        <w:rPr>
          <w:sz w:val="20"/>
          <w:szCs w:val="20"/>
        </w:rPr>
        <w:t>This would provide a larger TBS.</w:t>
      </w:r>
    </w:p>
    <w:p w14:paraId="4FBBFDFD" w14:textId="77777777" w:rsidR="00704495" w:rsidRPr="0052773A" w:rsidRDefault="3E61DC49" w:rsidP="3E61DC49">
      <w:pPr>
        <w:pStyle w:val="ListParagraph"/>
        <w:numPr>
          <w:ilvl w:val="0"/>
          <w:numId w:val="17"/>
        </w:numPr>
        <w:spacing w:line="256" w:lineRule="auto"/>
        <w:rPr>
          <w:sz w:val="20"/>
          <w:szCs w:val="20"/>
          <w:lang w:val="en-US"/>
        </w:rPr>
      </w:pPr>
      <w:r w:rsidRPr="3E61DC49">
        <w:rPr>
          <w:sz w:val="20"/>
          <w:szCs w:val="20"/>
          <w:lang w:val="en-US"/>
        </w:rPr>
        <w:t>Option 2: one TB is mapped to one slot – i.e. multi-slot scheduling</w:t>
      </w:r>
    </w:p>
    <w:p w14:paraId="7A0BAC39" w14:textId="77777777" w:rsidR="00704495" w:rsidRPr="0052773A" w:rsidRDefault="3E61DC49" w:rsidP="3E61DC49">
      <w:pPr>
        <w:pStyle w:val="ListParagraph"/>
        <w:numPr>
          <w:ilvl w:val="1"/>
          <w:numId w:val="17"/>
        </w:numPr>
        <w:spacing w:line="256" w:lineRule="auto"/>
        <w:rPr>
          <w:sz w:val="20"/>
          <w:szCs w:val="20"/>
          <w:lang w:val="en-US"/>
        </w:rPr>
      </w:pPr>
      <w:r w:rsidRPr="3E61DC49">
        <w:rPr>
          <w:sz w:val="20"/>
          <w:szCs w:val="20"/>
          <w:lang w:val="en-US"/>
        </w:rPr>
        <w:t>In this case, the data transmission in each slot is the same as the single-slot scheduling.</w:t>
      </w:r>
    </w:p>
    <w:p w14:paraId="2CDAF454" w14:textId="77777777" w:rsidR="00704495" w:rsidRDefault="00704495" w:rsidP="00704495">
      <w:pPr>
        <w:rPr>
          <w:sz w:val="22"/>
        </w:rPr>
      </w:pPr>
    </w:p>
    <w:p w14:paraId="66DC0A76" w14:textId="77777777" w:rsidR="00704495" w:rsidRDefault="3E61DC49" w:rsidP="00704495">
      <w:r>
        <w:t>The main use cases of option 1a include:</w:t>
      </w:r>
    </w:p>
    <w:p w14:paraId="228A49CE" w14:textId="77777777" w:rsidR="00704495" w:rsidRPr="0052773A" w:rsidRDefault="10E807B4" w:rsidP="10E807B4">
      <w:pPr>
        <w:pStyle w:val="ListParagraph"/>
        <w:numPr>
          <w:ilvl w:val="0"/>
          <w:numId w:val="45"/>
        </w:numPr>
        <w:spacing w:line="256" w:lineRule="auto"/>
        <w:rPr>
          <w:lang w:val="en-US"/>
        </w:rPr>
      </w:pPr>
      <w:r w:rsidRPr="10E807B4">
        <w:rPr>
          <w:sz w:val="20"/>
          <w:szCs w:val="20"/>
          <w:lang w:val="en-US"/>
        </w:rPr>
        <w:t>For coverage enhancement purpose. This is similar to TTI bundling or PDSCH/PUSCH repetitions in LTE, and it is useful for MTC applications where extended coverage is critical. Given that there is no intention to optimize for mMTC support in Rel-15, this would not be the main driver for option 1a in Rel-15.</w:t>
      </w:r>
    </w:p>
    <w:p w14:paraId="2E3E1DC2" w14:textId="77777777" w:rsidR="00704495" w:rsidRDefault="10E807B4" w:rsidP="00704495">
      <w:pPr>
        <w:pStyle w:val="ListParagraph"/>
        <w:numPr>
          <w:ilvl w:val="0"/>
          <w:numId w:val="45"/>
        </w:numPr>
        <w:spacing w:line="256" w:lineRule="auto"/>
      </w:pPr>
      <w:r w:rsidRPr="10E807B4">
        <w:rPr>
          <w:sz w:val="20"/>
          <w:szCs w:val="20"/>
          <w:lang w:val="en-US"/>
        </w:rPr>
        <w:t xml:space="preserve">For improved latency and reliability in URLLC applications. For URLLC, we have already agreed to support K repetitions (with the same or different RV) for the same TB for both grant-based and grant-free UL transmissions. For grant-based UL transmission, this would be achieved by option 1a. </w:t>
      </w:r>
      <w:r w:rsidRPr="10E807B4">
        <w:rPr>
          <w:sz w:val="20"/>
          <w:szCs w:val="20"/>
        </w:rPr>
        <w:t>The same approach can also be used for DL.</w:t>
      </w:r>
    </w:p>
    <w:p w14:paraId="20085E9D" w14:textId="77777777" w:rsidR="00704495" w:rsidRDefault="10E807B4" w:rsidP="00704495">
      <w:r>
        <w:t>Therefore option 1a should be supported as already agreed for URLLC.</w:t>
      </w:r>
    </w:p>
    <w:p w14:paraId="7C227D48" w14:textId="77777777" w:rsidR="00704495" w:rsidRDefault="10E807B4" w:rsidP="00704495">
      <w:r>
        <w:t>The main advantage of option 1b is the reduced DL/UL control overhead because only a single TB is transmitted. However it can have the following issues/implications:</w:t>
      </w:r>
    </w:p>
    <w:p w14:paraId="522D219A" w14:textId="77777777" w:rsidR="00704495" w:rsidRPr="0052773A" w:rsidRDefault="3E61DC49" w:rsidP="3E61DC49">
      <w:pPr>
        <w:pStyle w:val="ListParagraph"/>
        <w:numPr>
          <w:ilvl w:val="0"/>
          <w:numId w:val="17"/>
        </w:numPr>
        <w:spacing w:line="256" w:lineRule="auto"/>
        <w:rPr>
          <w:sz w:val="20"/>
          <w:szCs w:val="20"/>
          <w:lang w:val="en-US"/>
        </w:rPr>
      </w:pPr>
      <w:r w:rsidRPr="3E61DC49">
        <w:rPr>
          <w:sz w:val="20"/>
          <w:szCs w:val="20"/>
          <w:lang w:val="en-US"/>
        </w:rPr>
        <w:t>It creates inefficiency in HARQ retransmission due to large TBS. CBG-based retransmission can be considered as one way to address the issue, but it requires multi-bit HARQ-ACK feedback and additional overhead in retransmission DCI, which would take away the potential advantage of reduced overhead.</w:t>
      </w:r>
    </w:p>
    <w:p w14:paraId="286EE0E5" w14:textId="77777777" w:rsidR="00704495" w:rsidRPr="0052773A" w:rsidRDefault="3E61DC49" w:rsidP="3E61DC49">
      <w:pPr>
        <w:pStyle w:val="ListParagraph"/>
        <w:numPr>
          <w:ilvl w:val="0"/>
          <w:numId w:val="17"/>
        </w:numPr>
        <w:spacing w:line="256" w:lineRule="auto"/>
        <w:rPr>
          <w:sz w:val="20"/>
          <w:szCs w:val="20"/>
          <w:lang w:val="en-US"/>
        </w:rPr>
      </w:pPr>
      <w:r w:rsidRPr="3E61DC49">
        <w:rPr>
          <w:sz w:val="20"/>
          <w:szCs w:val="20"/>
          <w:lang w:val="en-US"/>
        </w:rPr>
        <w:t>It can complicate the HARQ process and soft buffer discussion. It requires a HARQ process to support a much larger TBS and the corresponding soft buffer size for soft combining purpose. This could mean that less number of HARQ processes can be supported when more slots are aggregated. If we support the dynamic indication of the transmission duration, it in a way conflicts with the static/semi-static number of HARQ processes that a UE supports.</w:t>
      </w:r>
    </w:p>
    <w:p w14:paraId="40B683C3" w14:textId="77777777" w:rsidR="00704495" w:rsidRPr="0052773A" w:rsidRDefault="3E61DC49" w:rsidP="3E61DC49">
      <w:pPr>
        <w:pStyle w:val="ListParagraph"/>
        <w:numPr>
          <w:ilvl w:val="0"/>
          <w:numId w:val="17"/>
        </w:numPr>
        <w:spacing w:line="256" w:lineRule="auto"/>
        <w:rPr>
          <w:sz w:val="20"/>
          <w:szCs w:val="20"/>
          <w:lang w:val="en-US"/>
        </w:rPr>
      </w:pPr>
      <w:r w:rsidRPr="3E61DC49">
        <w:rPr>
          <w:sz w:val="20"/>
          <w:szCs w:val="20"/>
          <w:lang w:val="en-US"/>
        </w:rPr>
        <w:lastRenderedPageBreak/>
        <w:t>It can also increase the latency because the retransmission would need to wait longer due to the long scheduling unit (e.g. when the transmission of another HARQ process occurs).</w:t>
      </w:r>
    </w:p>
    <w:p w14:paraId="34E9B020" w14:textId="77777777" w:rsidR="00704495" w:rsidRDefault="00704495" w:rsidP="00704495">
      <w:pPr>
        <w:rPr>
          <w:sz w:val="22"/>
        </w:rPr>
      </w:pPr>
    </w:p>
    <w:p w14:paraId="04167EC4" w14:textId="00672DBA" w:rsidR="00704495" w:rsidRDefault="10E807B4" w:rsidP="00704495">
      <w:r>
        <w:t>Option 2, on the other hand, is a simple way to support slot aggregation. As discussed</w:t>
      </w:r>
      <w:r w:rsidR="00A44B43">
        <w:t xml:space="preserve"> in Section 4</w:t>
      </w:r>
      <w:r>
        <w:t>, such type of multi-slot scheduling will be needed for dynamic TDD and can be overall used to decrease the DL control overhead. Other than the proper DCI design to provide the scheduling information, the data transmission in each slot is essentially the same as in case of single-slot scheduling. In the DCI design, there may be some restrictions introduced to reduce the DCI overhead, causing that the scheduling info for the TB in each slot to be not completely independent as e.g. done for multi-subframe scheduling in LTE eLAA.</w:t>
      </w:r>
    </w:p>
    <w:p w14:paraId="6E09CF16" w14:textId="1F70E376" w:rsidR="00704495" w:rsidRDefault="3E61DC49" w:rsidP="3E61DC49">
      <w:pPr>
        <w:rPr>
          <w:i/>
          <w:iCs/>
        </w:rPr>
      </w:pPr>
      <w:r w:rsidRPr="3E61DC49">
        <w:rPr>
          <w:b/>
          <w:bCs/>
          <w:i/>
          <w:iCs/>
        </w:rPr>
        <w:t>Proposal 1</w:t>
      </w:r>
      <w:r w:rsidR="00C95609">
        <w:rPr>
          <w:b/>
          <w:bCs/>
          <w:i/>
          <w:iCs/>
        </w:rPr>
        <w:t>8</w:t>
      </w:r>
      <w:r w:rsidRPr="3E61DC49">
        <w:rPr>
          <w:b/>
          <w:bCs/>
          <w:i/>
          <w:iCs/>
        </w:rPr>
        <w:t>:</w:t>
      </w:r>
      <w:r w:rsidRPr="3E61DC49">
        <w:rPr>
          <w:i/>
          <w:iCs/>
        </w:rPr>
        <w:t xml:space="preserve"> In case of slot aggregation in Rel-15, the following two options are supported: (1)</w:t>
      </w:r>
      <w:r>
        <w:t xml:space="preserve"> </w:t>
      </w:r>
      <w:r w:rsidRPr="3E61DC49">
        <w:rPr>
          <w:i/>
          <w:iCs/>
        </w:rPr>
        <w:t>one TB is mapped to multiple slots, and the TBS is determined in the same way as in single-slot scheduling; (2) one TB is mapped to each slot.</w:t>
      </w:r>
    </w:p>
    <w:p w14:paraId="30E029DD" w14:textId="6ED32DE5" w:rsidR="0034111C" w:rsidRPr="00A51522" w:rsidRDefault="00704495" w:rsidP="3E61DC49">
      <w:pPr>
        <w:pStyle w:val="Heading1"/>
        <w:rPr>
          <w:color w:val="000000" w:themeColor="text1"/>
        </w:rPr>
      </w:pPr>
      <w:r>
        <w:rPr>
          <w:color w:val="000000"/>
        </w:rPr>
        <w:t>6</w:t>
      </w:r>
      <w:r w:rsidR="0034111C" w:rsidRPr="00A51522">
        <w:rPr>
          <w:color w:val="000000"/>
        </w:rPr>
        <w:tab/>
      </w:r>
      <w:r w:rsidR="00EE7FA7" w:rsidRPr="00A51522">
        <w:rPr>
          <w:color w:val="000000"/>
        </w:rPr>
        <w:t>Conclusion</w:t>
      </w:r>
    </w:p>
    <w:p w14:paraId="199B8CA9" w14:textId="60366824" w:rsidR="00731B79" w:rsidRDefault="003D3FBA" w:rsidP="003B3C64">
      <w:pPr>
        <w:jc w:val="both"/>
      </w:pPr>
      <w:r w:rsidRPr="00A51522">
        <w:t xml:space="preserve">In this </w:t>
      </w:r>
      <w:r w:rsidR="00986146" w:rsidRPr="00A51522">
        <w:t>contribution,</w:t>
      </w:r>
      <w:r w:rsidRPr="00A51522">
        <w:t xml:space="preserve"> we have discussed </w:t>
      </w:r>
      <w:r w:rsidR="32975CEE" w:rsidRPr="00A51522">
        <w:t xml:space="preserve">remaining open items related to resource allocation of DL and UL shared channels. Based on the discussion we make the following </w:t>
      </w:r>
      <w:r w:rsidR="00A44B43">
        <w:t xml:space="preserve">observation and </w:t>
      </w:r>
      <w:r w:rsidR="32975CEE" w:rsidRPr="00A51522">
        <w:t xml:space="preserve">proposals: </w:t>
      </w:r>
    </w:p>
    <w:p w14:paraId="39A155C3" w14:textId="77777777" w:rsidR="00C95609" w:rsidRPr="00C95609" w:rsidRDefault="00C95609" w:rsidP="00C95609">
      <w:pPr>
        <w:rPr>
          <w:i/>
          <w:iCs/>
        </w:rPr>
      </w:pPr>
      <w:r w:rsidRPr="00C95609">
        <w:rPr>
          <w:b/>
          <w:bCs/>
          <w:i/>
          <w:iCs/>
        </w:rPr>
        <w:t>Observation 1:</w:t>
      </w:r>
      <w:r w:rsidRPr="00C95609">
        <w:rPr>
          <w:i/>
          <w:iCs/>
        </w:rPr>
        <w:t xml:space="preserve"> There is no obvious benefit to support RBG size of 3 or 6 if resource sharing of PDCCH and PDSCH on the same symbol is achieved by having PDSCH rate match around the indicated control resources.</w:t>
      </w:r>
    </w:p>
    <w:p w14:paraId="7D63F420" w14:textId="77777777" w:rsidR="00C95609" w:rsidRPr="00C95609" w:rsidRDefault="00C95609" w:rsidP="00C95609">
      <w:pPr>
        <w:spacing w:after="0"/>
        <w:jc w:val="both"/>
        <w:rPr>
          <w:rFonts w:eastAsia="MS Mincho"/>
          <w:i/>
          <w:iCs/>
          <w:lang w:val="en-US" w:eastAsia="ja-JP"/>
        </w:rPr>
      </w:pPr>
      <w:r w:rsidRPr="00C95609">
        <w:rPr>
          <w:rFonts w:eastAsia="MS Mincho"/>
          <w:b/>
          <w:bCs/>
          <w:i/>
          <w:iCs/>
          <w:lang w:eastAsia="ja-JP"/>
        </w:rPr>
        <w:t>Proposal 1:</w:t>
      </w:r>
      <w:r w:rsidRPr="00C95609">
        <w:rPr>
          <w:rFonts w:eastAsia="MS Mincho"/>
          <w:i/>
          <w:iCs/>
          <w:lang w:eastAsia="ja-JP"/>
        </w:rPr>
        <w:t xml:space="preserve"> The set of supported RBG sizes includes entries defined by </w:t>
      </w:r>
      <w:r w:rsidRPr="00C95609">
        <w:rPr>
          <w:rFonts w:eastAsia="MS Mincho"/>
          <w:i/>
          <w:iCs/>
          <w:lang w:val="en-US" w:eastAsia="ja-JP"/>
        </w:rPr>
        <w:t>2</w:t>
      </w:r>
      <w:r w:rsidRPr="00C95609">
        <w:rPr>
          <w:rFonts w:eastAsia="MS Mincho"/>
          <w:i/>
          <w:iCs/>
          <w:vertAlign w:val="superscript"/>
          <w:lang w:val="en-US" w:eastAsia="ja-JP"/>
        </w:rPr>
        <w:t>n</w:t>
      </w:r>
      <w:r w:rsidRPr="00C95609">
        <w:rPr>
          <w:rFonts w:eastAsia="MS Mincho"/>
          <w:i/>
          <w:iCs/>
          <w:lang w:eastAsia="ja-JP"/>
        </w:rPr>
        <w:t xml:space="preserve">, where </w:t>
      </w:r>
      <w:r w:rsidRPr="00C95609">
        <w:rPr>
          <w:rFonts w:eastAsia="MS Mincho"/>
          <w:i/>
          <w:iCs/>
          <w:lang w:val="en-US" w:eastAsia="ja-JP"/>
        </w:rPr>
        <w:t xml:space="preserve">n=[1,2,3,4] </w:t>
      </w:r>
    </w:p>
    <w:p w14:paraId="7E996B1A" w14:textId="77777777" w:rsidR="00C95609" w:rsidRPr="00C95609" w:rsidRDefault="00C95609" w:rsidP="00C95609">
      <w:pPr>
        <w:pStyle w:val="ListParagraph"/>
        <w:numPr>
          <w:ilvl w:val="0"/>
          <w:numId w:val="32"/>
        </w:numPr>
        <w:spacing w:after="120"/>
        <w:jc w:val="both"/>
        <w:rPr>
          <w:rFonts w:eastAsia="MS Mincho"/>
          <w:i/>
          <w:lang w:val="en-US" w:eastAsia="ja-JP"/>
        </w:rPr>
      </w:pPr>
      <w:r w:rsidRPr="00C95609">
        <w:rPr>
          <w:rFonts w:eastAsia="MS Mincho"/>
          <w:i/>
          <w:iCs/>
          <w:sz w:val="20"/>
          <w:szCs w:val="20"/>
          <w:lang w:val="en-US" w:eastAsia="ja-JP"/>
        </w:rPr>
        <w:t>FFS on support of values n&gt;4.</w:t>
      </w:r>
    </w:p>
    <w:p w14:paraId="5EAED1D5" w14:textId="77777777" w:rsidR="00C95609" w:rsidRPr="00C95609" w:rsidRDefault="00C95609" w:rsidP="00C95609">
      <w:pPr>
        <w:spacing w:after="0"/>
        <w:rPr>
          <w:i/>
          <w:iCs/>
        </w:rPr>
      </w:pPr>
      <w:r w:rsidRPr="00C95609">
        <w:rPr>
          <w:b/>
          <w:bCs/>
          <w:i/>
          <w:iCs/>
        </w:rPr>
        <w:t xml:space="preserve">Proposal 2: </w:t>
      </w:r>
      <w:r w:rsidRPr="00C95609">
        <w:rPr>
          <w:i/>
          <w:iCs/>
        </w:rPr>
        <w:t xml:space="preserve">For resource allocation based on LTE DL type 0, the size X of the RA bitmap is semi-statically configured per DCI format a UE shall monitor, and down-select between the following two options: </w:t>
      </w:r>
    </w:p>
    <w:p w14:paraId="73B4CF4A" w14:textId="77777777" w:rsidR="00C95609" w:rsidRPr="00C95609" w:rsidRDefault="00C95609" w:rsidP="00C95609">
      <w:pPr>
        <w:pStyle w:val="ListParagraph"/>
        <w:numPr>
          <w:ilvl w:val="0"/>
          <w:numId w:val="32"/>
        </w:numPr>
        <w:rPr>
          <w:rFonts w:eastAsia="MS Mincho"/>
          <w:b/>
          <w:bCs/>
          <w:i/>
          <w:u w:val="single"/>
          <w:lang w:val="en-US" w:eastAsia="ja-JP"/>
        </w:rPr>
      </w:pPr>
      <w:r w:rsidRPr="00C95609">
        <w:rPr>
          <w:rFonts w:eastAsia="Yu Mincho"/>
          <w:i/>
          <w:iCs/>
          <w:sz w:val="20"/>
          <w:szCs w:val="20"/>
          <w:lang w:val="en-US" w:eastAsia="ja-JP"/>
        </w:rPr>
        <w:t xml:space="preserve">Option 1: the RBGs size is determined (out of supported RBG values) based on the size of BWP and the size of the RA bitmap X. </w:t>
      </w:r>
    </w:p>
    <w:p w14:paraId="7A812DD5" w14:textId="77777777" w:rsidR="00C95609" w:rsidRPr="00C95609" w:rsidRDefault="00C95609" w:rsidP="00C95609">
      <w:pPr>
        <w:pStyle w:val="ListParagraph"/>
        <w:numPr>
          <w:ilvl w:val="0"/>
          <w:numId w:val="32"/>
        </w:numPr>
        <w:spacing w:after="240"/>
        <w:rPr>
          <w:rFonts w:eastAsia="MS Mincho"/>
          <w:b/>
          <w:bCs/>
          <w:i/>
          <w:iCs/>
          <w:u w:val="single"/>
          <w:lang w:val="en-US" w:eastAsia="ja-JP"/>
        </w:rPr>
      </w:pPr>
      <w:r w:rsidRPr="00C95609">
        <w:rPr>
          <w:rFonts w:eastAsia="Yu Mincho"/>
          <w:i/>
          <w:iCs/>
          <w:sz w:val="20"/>
          <w:szCs w:val="20"/>
          <w:lang w:val="en-US" w:eastAsia="ja-JP"/>
        </w:rPr>
        <w:t>Option 2:</w:t>
      </w:r>
      <w:r w:rsidRPr="00C95609">
        <w:rPr>
          <w:i/>
          <w:sz w:val="20"/>
          <w:szCs w:val="20"/>
          <w:lang w:val="en-US"/>
        </w:rPr>
        <w:t xml:space="preserve"> </w:t>
      </w:r>
      <w:r w:rsidRPr="00C95609">
        <w:rPr>
          <w:i/>
          <w:iCs/>
          <w:sz w:val="20"/>
          <w:szCs w:val="20"/>
          <w:lang w:val="en-US"/>
        </w:rPr>
        <w:t>the RBG size is configured per BWP. If number of required bits is smaller than X, eNB adds padding bits to RA field, if number of required bits is larger than X, then eNB may allocate only part of the BWP. FFS on the part of BWP.</w:t>
      </w:r>
    </w:p>
    <w:p w14:paraId="48C85092" w14:textId="0E6CF053" w:rsidR="00C95609" w:rsidRPr="00C95609" w:rsidRDefault="00C95609" w:rsidP="00C95609">
      <w:pPr>
        <w:rPr>
          <w:i/>
          <w:iCs/>
        </w:rPr>
      </w:pPr>
      <w:r w:rsidRPr="00C95609">
        <w:rPr>
          <w:b/>
          <w:bCs/>
          <w:i/>
          <w:iCs/>
        </w:rPr>
        <w:t>Proposal 3:</w:t>
      </w:r>
      <w:r w:rsidRPr="00C95609">
        <w:rPr>
          <w:i/>
          <w:iCs/>
        </w:rPr>
        <w:t xml:space="preserve"> For resource allocation based on LTE DL RA type 2, a coarse granularity of more than one PRB is supported. The RBG size on the BWP is determined </w:t>
      </w:r>
      <w:r w:rsidR="00381953">
        <w:rPr>
          <w:i/>
          <w:iCs/>
        </w:rPr>
        <w:t>according to</w:t>
      </w:r>
      <w:r w:rsidRPr="00C95609">
        <w:rPr>
          <w:i/>
          <w:iCs/>
        </w:rPr>
        <w:t xml:space="preserve"> the same principle as for LTE DL RA type 0 (see Proposal 2).</w:t>
      </w:r>
    </w:p>
    <w:p w14:paraId="47C7C52F" w14:textId="77777777" w:rsidR="00C95609" w:rsidRPr="00C95609" w:rsidRDefault="00C95609" w:rsidP="00C95609">
      <w:pPr>
        <w:rPr>
          <w:i/>
          <w:iCs/>
        </w:rPr>
      </w:pPr>
      <w:r w:rsidRPr="00C95609">
        <w:rPr>
          <w:b/>
          <w:bCs/>
          <w:i/>
          <w:iCs/>
        </w:rPr>
        <w:t>Proposal 4</w:t>
      </w:r>
      <w:r w:rsidRPr="00C95609">
        <w:rPr>
          <w:i/>
          <w:iCs/>
        </w:rPr>
        <w:t>: Different DCI formats are used for resource allocation based on LTE DL RA type 0 and type 2, i.e. a single DCI format can schedule either RA type 0 or RA type2.</w:t>
      </w:r>
    </w:p>
    <w:p w14:paraId="55E4753D" w14:textId="77777777" w:rsidR="00C95609" w:rsidRPr="00C95609" w:rsidRDefault="00C95609" w:rsidP="00C95609">
      <w:pPr>
        <w:rPr>
          <w:i/>
          <w:iCs/>
        </w:rPr>
      </w:pPr>
      <w:r w:rsidRPr="00C95609">
        <w:rPr>
          <w:b/>
          <w:bCs/>
          <w:i/>
          <w:iCs/>
        </w:rPr>
        <w:t>Proposal 5</w:t>
      </w:r>
      <w:r w:rsidRPr="00C95609">
        <w:rPr>
          <w:i/>
          <w:iCs/>
        </w:rPr>
        <w:t>: For resource allocation based on LTE DL RA type 2, both contiguous and non-contiguous RA are supported. Intra-slot frequency hopping is not supported. FFS the details of non-contiguous RA.</w:t>
      </w:r>
    </w:p>
    <w:p w14:paraId="387284D8" w14:textId="77777777" w:rsidR="00C95609" w:rsidRPr="00C95609" w:rsidRDefault="00C95609" w:rsidP="00C95609">
      <w:pPr>
        <w:rPr>
          <w:i/>
          <w:lang w:val="en-US"/>
        </w:rPr>
      </w:pPr>
      <w:r w:rsidRPr="00C95609">
        <w:rPr>
          <w:b/>
          <w:bCs/>
          <w:i/>
          <w:iCs/>
        </w:rPr>
        <w:t>Proposal 6</w:t>
      </w:r>
      <w:r w:rsidRPr="00C95609">
        <w:rPr>
          <w:i/>
          <w:iCs/>
        </w:rPr>
        <w:t>: Resource allocation based on LTE UL RA type 0 is defined in the same way as resource allocation based on LTE DL RA type 2 with contiguous resource allocation.</w:t>
      </w:r>
    </w:p>
    <w:p w14:paraId="1C5F2A96" w14:textId="77777777" w:rsidR="00C95609" w:rsidRPr="00C95609" w:rsidRDefault="00C95609" w:rsidP="00C95609">
      <w:pPr>
        <w:rPr>
          <w:rFonts w:eastAsia="MS Mincho"/>
          <w:i/>
          <w:iCs/>
          <w:lang w:val="en-US" w:eastAsia="ja-JP"/>
        </w:rPr>
      </w:pPr>
      <w:r w:rsidRPr="00C95609">
        <w:rPr>
          <w:rFonts w:eastAsia="MS Mincho"/>
          <w:b/>
          <w:bCs/>
          <w:i/>
          <w:iCs/>
          <w:lang w:val="en-US" w:eastAsia="ja-JP"/>
        </w:rPr>
        <w:t xml:space="preserve">Proposal 7: </w:t>
      </w:r>
      <w:r w:rsidRPr="00C95609">
        <w:rPr>
          <w:rFonts w:eastAsia="MS Mincho"/>
          <w:i/>
          <w:iCs/>
          <w:lang w:val="en-US" w:eastAsia="ja-JP"/>
        </w:rPr>
        <w:t>PUSCH waveform is configured using higher layer signalling. DFT-S-OFDM does not introduce any additional bits in DCI scheduling PUSCH, and the DCI format for resource allocation based on LTE UL RA type 0 is the same for DFT-S-OFDM and CP-OFDM based PUSCH.</w:t>
      </w:r>
    </w:p>
    <w:p w14:paraId="09F18759" w14:textId="77777777" w:rsidR="00C95609" w:rsidRPr="00C95609" w:rsidRDefault="00C95609" w:rsidP="00C95609">
      <w:pPr>
        <w:rPr>
          <w:i/>
          <w:iCs/>
          <w:lang w:val="en-US"/>
        </w:rPr>
      </w:pPr>
      <w:r w:rsidRPr="00C95609">
        <w:rPr>
          <w:b/>
          <w:bCs/>
          <w:i/>
          <w:iCs/>
          <w:lang w:val="en-US"/>
        </w:rPr>
        <w:t>Proposal 8</w:t>
      </w:r>
      <w:r w:rsidRPr="00C95609">
        <w:rPr>
          <w:i/>
          <w:iCs/>
          <w:lang w:val="en-US"/>
        </w:rPr>
        <w:t>: For frequency-domain resource allocation in a BWP, UE-specific PRB indexing is used. That is, i</w:t>
      </w:r>
      <w:r w:rsidRPr="00C95609">
        <w:rPr>
          <w:rFonts w:eastAsia="MS Mincho"/>
          <w:i/>
          <w:iCs/>
          <w:lang w:val="en-US" w:eastAsia="ja-JP"/>
        </w:rPr>
        <w:t>t is indexed within the BWP with respect to the configured SCS for the BWP</w:t>
      </w:r>
      <w:r w:rsidRPr="00C95609">
        <w:rPr>
          <w:i/>
          <w:iCs/>
          <w:lang w:val="en-US"/>
        </w:rPr>
        <w:t>.</w:t>
      </w:r>
    </w:p>
    <w:p w14:paraId="11E2266B" w14:textId="77777777" w:rsidR="00C95609" w:rsidRPr="00C95609" w:rsidRDefault="00C95609" w:rsidP="00C95609">
      <w:pPr>
        <w:jc w:val="both"/>
        <w:rPr>
          <w:i/>
        </w:rPr>
      </w:pPr>
      <w:r w:rsidRPr="00C95609">
        <w:rPr>
          <w:b/>
          <w:bCs/>
          <w:i/>
        </w:rPr>
        <w:t xml:space="preserve">Proposal 9: </w:t>
      </w:r>
      <w:r w:rsidRPr="00C95609">
        <w:rPr>
          <w:i/>
          <w:iCs/>
        </w:rPr>
        <w:t>In TDD operation, the maximum DL/UL switching rate is 8 kHz, and there is at most one DL/UL switch within a minimum scheduling interval for slot-based scheduling. I.e. if SCS of 240 kHz or higher is introduced, then slot aggregation is required.</w:t>
      </w:r>
      <w:r w:rsidRPr="00C95609">
        <w:rPr>
          <w:i/>
        </w:rPr>
        <w:t xml:space="preserve">  </w:t>
      </w:r>
    </w:p>
    <w:p w14:paraId="15C7EAB6" w14:textId="7D5A7890" w:rsidR="00C95609" w:rsidRDefault="00C95609" w:rsidP="00C95609">
      <w:pPr>
        <w:rPr>
          <w:lang w:eastAsia="x-none"/>
        </w:rPr>
      </w:pPr>
      <w:r w:rsidRPr="00C95609">
        <w:rPr>
          <w:b/>
          <w:bCs/>
          <w:i/>
        </w:rPr>
        <w:t xml:space="preserve">Proposal 10: </w:t>
      </w:r>
      <w:r w:rsidRPr="00C95609">
        <w:rPr>
          <w:i/>
          <w:iCs/>
        </w:rPr>
        <w:t>A slot-aggregate consist of 1, 2, 4 or 8 slots with the possibility to extend it to larger values in the future</w:t>
      </w:r>
      <w:r>
        <w:rPr>
          <w:i/>
          <w:iCs/>
        </w:rPr>
        <w:t>.</w:t>
      </w:r>
    </w:p>
    <w:p w14:paraId="3183FB4B" w14:textId="77777777" w:rsidR="00C95609" w:rsidRPr="00C95609" w:rsidRDefault="00C95609" w:rsidP="00C95609">
      <w:pPr>
        <w:rPr>
          <w:rFonts w:eastAsia="MS Mincho"/>
          <w:i/>
          <w:iCs/>
          <w:lang w:eastAsia="ja-JP"/>
        </w:rPr>
      </w:pPr>
      <w:r w:rsidRPr="00C95609">
        <w:rPr>
          <w:rFonts w:eastAsia="MS Mincho"/>
          <w:b/>
          <w:bCs/>
          <w:i/>
          <w:iCs/>
          <w:lang w:eastAsia="ja-JP"/>
        </w:rPr>
        <w:t xml:space="preserve">Proposal 11: </w:t>
      </w:r>
      <w:r w:rsidRPr="00C95609">
        <w:rPr>
          <w:rFonts w:eastAsia="MS Mincho"/>
          <w:i/>
          <w:iCs/>
          <w:lang w:eastAsia="ja-JP"/>
        </w:rPr>
        <w:t>Consider a fixed value K0=0, for the case when the timings are unknown to UE.</w:t>
      </w:r>
    </w:p>
    <w:p w14:paraId="2F4C4869" w14:textId="77777777" w:rsidR="00C95609" w:rsidRPr="00C95609" w:rsidRDefault="00C95609" w:rsidP="00C95609">
      <w:pPr>
        <w:rPr>
          <w:rFonts w:eastAsia="MS Mincho"/>
          <w:i/>
          <w:iCs/>
          <w:lang w:eastAsia="ja-JP"/>
        </w:rPr>
      </w:pPr>
      <w:r w:rsidRPr="00C95609">
        <w:rPr>
          <w:rFonts w:eastAsia="MS Mincho"/>
          <w:b/>
          <w:bCs/>
          <w:i/>
          <w:iCs/>
          <w:lang w:eastAsia="ja-JP"/>
        </w:rPr>
        <w:lastRenderedPageBreak/>
        <w:t xml:space="preserve">Proposal 12: </w:t>
      </w:r>
      <w:r w:rsidRPr="00C95609">
        <w:rPr>
          <w:rFonts w:eastAsia="MS Mincho"/>
          <w:i/>
          <w:iCs/>
          <w:lang w:eastAsia="ja-JP"/>
        </w:rPr>
        <w:t>Consider a predefined set of values for dynamic indication of K2 for the case when the timings are unknown to UE.</w:t>
      </w:r>
    </w:p>
    <w:p w14:paraId="1C82A7A8" w14:textId="77777777" w:rsidR="00C95609" w:rsidRPr="004D29CA" w:rsidRDefault="00C95609" w:rsidP="00C95609">
      <w:pPr>
        <w:overflowPunct/>
        <w:autoSpaceDE/>
        <w:autoSpaceDN/>
        <w:adjustRightInd/>
        <w:textAlignment w:val="auto"/>
        <w:rPr>
          <w:rFonts w:eastAsia="MS Mincho"/>
          <w:i/>
          <w:iCs/>
          <w:lang w:val="en-US" w:eastAsia="ja-JP"/>
        </w:rPr>
      </w:pPr>
      <w:r w:rsidRPr="00C95609">
        <w:rPr>
          <w:rFonts w:eastAsia="MS Mincho"/>
          <w:b/>
          <w:bCs/>
          <w:i/>
          <w:iCs/>
          <w:lang w:val="en-US" w:eastAsia="ja-JP"/>
        </w:rPr>
        <w:t>Proposal 13:</w:t>
      </w:r>
      <w:r w:rsidRPr="32975CEE">
        <w:rPr>
          <w:rFonts w:eastAsia="MS Mincho"/>
          <w:b/>
          <w:bCs/>
          <w:i/>
          <w:iCs/>
          <w:lang w:val="en-US" w:eastAsia="ja-JP"/>
        </w:rPr>
        <w:t xml:space="preserve"> </w:t>
      </w:r>
      <w:r w:rsidRPr="32975CEE">
        <w:rPr>
          <w:rFonts w:eastAsia="MS Mincho"/>
          <w:i/>
          <w:iCs/>
          <w:lang w:val="en-US" w:eastAsia="ja-JP"/>
        </w:rPr>
        <w:t>Support indication of both starting position and the duration of (PDSCH/PUSCH) mini-slot using a single index configured by RRC.</w:t>
      </w:r>
    </w:p>
    <w:p w14:paraId="5B66A4C2" w14:textId="77777777" w:rsidR="00C95609" w:rsidRDefault="00C95609" w:rsidP="00C95609">
      <w:pPr>
        <w:jc w:val="both"/>
        <w:rPr>
          <w:i/>
          <w:iCs/>
        </w:rPr>
      </w:pPr>
      <w:r w:rsidRPr="00C95609">
        <w:rPr>
          <w:b/>
          <w:bCs/>
          <w:i/>
        </w:rPr>
        <w:t>Proposal 14:</w:t>
      </w:r>
      <w:r w:rsidRPr="3E61DC49">
        <w:rPr>
          <w:b/>
          <w:bCs/>
        </w:rPr>
        <w:t xml:space="preserve"> </w:t>
      </w:r>
      <w:r w:rsidRPr="3E61DC49">
        <w:rPr>
          <w:i/>
          <w:iCs/>
        </w:rPr>
        <w:t>Dynamic indication of the starting position for PUSCH mini-slot is based on Opt. 1 (slot index, and the starting symbol of the slot).</w:t>
      </w:r>
    </w:p>
    <w:p w14:paraId="0BCB8052" w14:textId="77777777" w:rsidR="00C95609" w:rsidRDefault="00C95609" w:rsidP="00C95609">
      <w:pPr>
        <w:jc w:val="both"/>
        <w:rPr>
          <w:lang w:val="en-US"/>
        </w:rPr>
      </w:pPr>
      <w:r w:rsidRPr="00C95609">
        <w:rPr>
          <w:b/>
          <w:bCs/>
          <w:i/>
        </w:rPr>
        <w:t>Proposal 15:</w:t>
      </w:r>
      <w:r w:rsidRPr="3E61DC49">
        <w:rPr>
          <w:b/>
          <w:bCs/>
        </w:rPr>
        <w:t xml:space="preserve"> </w:t>
      </w:r>
      <w:r w:rsidRPr="3E61DC49">
        <w:rPr>
          <w:i/>
          <w:iCs/>
        </w:rPr>
        <w:t>Dynamic indication of the starting position for PDSCH</w:t>
      </w:r>
      <w:r>
        <w:rPr>
          <w:i/>
          <w:iCs/>
        </w:rPr>
        <w:t xml:space="preserve"> mini-slot</w:t>
      </w:r>
      <w:r w:rsidRPr="3E61DC49">
        <w:rPr>
          <w:i/>
          <w:iCs/>
        </w:rPr>
        <w:t xml:space="preserve"> is based on Opt. 2 (symbol number from the start of PDCCH where scheduling PDCCH is included)</w:t>
      </w:r>
      <w:r>
        <w:rPr>
          <w:i/>
          <w:iCs/>
        </w:rPr>
        <w:t>.</w:t>
      </w:r>
    </w:p>
    <w:p w14:paraId="1906751A" w14:textId="77777777" w:rsidR="00C95609" w:rsidRPr="0089362C" w:rsidRDefault="00C95609" w:rsidP="00C95609">
      <w:pPr>
        <w:rPr>
          <w:i/>
          <w:iCs/>
          <w:lang w:val="en-US"/>
        </w:rPr>
      </w:pPr>
      <w:r w:rsidRPr="00C95609">
        <w:rPr>
          <w:b/>
          <w:bCs/>
          <w:i/>
        </w:rPr>
        <w:t>Proposal 16</w:t>
      </w:r>
      <w:r w:rsidRPr="00C95609">
        <w:rPr>
          <w:b/>
          <w:bCs/>
          <w:i/>
          <w:iCs/>
        </w:rPr>
        <w:t>:</w:t>
      </w:r>
      <w:r w:rsidRPr="3E61DC49">
        <w:rPr>
          <w:i/>
          <w:iCs/>
        </w:rPr>
        <w:t xml:space="preserve"> In case of slot-based scheduling, the number of slots for a data transmission can be dynamically indicated in DCI. The starting symbol and ending symbol are applied to all the aggregated slots.</w:t>
      </w:r>
    </w:p>
    <w:p w14:paraId="27C71979" w14:textId="77777777" w:rsidR="00C95609" w:rsidRPr="005F717C" w:rsidRDefault="00C95609" w:rsidP="00C95609">
      <w:pPr>
        <w:jc w:val="both"/>
        <w:rPr>
          <w:i/>
          <w:iCs/>
        </w:rPr>
      </w:pPr>
      <w:r w:rsidRPr="32975CEE">
        <w:rPr>
          <w:b/>
          <w:bCs/>
          <w:i/>
          <w:iCs/>
        </w:rPr>
        <w:t>Proposal 1</w:t>
      </w:r>
      <w:r>
        <w:rPr>
          <w:b/>
          <w:bCs/>
          <w:i/>
          <w:iCs/>
        </w:rPr>
        <w:t>7</w:t>
      </w:r>
      <w:r w:rsidRPr="32975CEE">
        <w:rPr>
          <w:b/>
          <w:bCs/>
          <w:i/>
          <w:iCs/>
        </w:rPr>
        <w:t xml:space="preserve">: </w:t>
      </w:r>
      <w:r w:rsidRPr="32975CEE">
        <w:rPr>
          <w:i/>
          <w:iCs/>
        </w:rPr>
        <w:t xml:space="preserve">The following pre-defined formula shall be used to determine the TBS. </w:t>
      </w:r>
    </w:p>
    <w:p w14:paraId="1C29052F" w14:textId="77777777" w:rsidR="00C95609" w:rsidRPr="005F717C" w:rsidRDefault="00C95609" w:rsidP="00C95609">
      <w:pPr>
        <w:pStyle w:val="BodyText"/>
        <w:jc w:val="both"/>
        <w:rPr>
          <w:rFonts w:eastAsiaTheme="minorEastAsia"/>
          <w:i/>
          <w:iCs/>
          <w:lang w:eastAsia="zh-CN"/>
        </w:rPr>
      </w:pPr>
      <w:r>
        <w:rPr>
          <w:i/>
        </w:rPr>
        <w:tab/>
      </w:r>
      <w:r w:rsidRPr="005F717C">
        <w:rPr>
          <w:i/>
        </w:rPr>
        <w:tab/>
      </w:r>
      <w:r w:rsidRPr="3E61DC49">
        <w:rPr>
          <w:rFonts w:eastAsiaTheme="minorEastAsia"/>
          <w:i/>
          <w:iCs/>
          <w:lang w:eastAsia="zh-CN"/>
        </w:rPr>
        <w:t xml:space="preserve">TBS = </w:t>
      </w:r>
      <m:oMath>
        <m:d>
          <m:dPr>
            <m:begChr m:val="⌈"/>
            <m:endChr m:val="⌉"/>
            <m:ctrlPr>
              <w:rPr>
                <w:rFonts w:ascii="Cambria Math" w:eastAsiaTheme="minorEastAsia" w:hAnsi="Cambria Math"/>
                <w:i/>
                <w:lang w:eastAsia="zh-CN"/>
              </w:rPr>
            </m:ctrlPr>
          </m:dPr>
          <m:e>
            <m:f>
              <m:fPr>
                <m:ctrlPr>
                  <w:rPr>
                    <w:rFonts w:ascii="Cambria Math" w:eastAsiaTheme="minorEastAsia" w:hAnsi="Cambria Math"/>
                    <w:i/>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RE</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Q</m:t>
                    </m:r>
                  </m:e>
                  <m:sub>
                    <m:r>
                      <w:rPr>
                        <w:rFonts w:ascii="Cambria Math" w:eastAsiaTheme="minorEastAsia" w:hAnsi="Cambria Math"/>
                        <w:lang w:eastAsia="zh-CN"/>
                      </w:rPr>
                      <m:t>m</m:t>
                    </m:r>
                  </m:sub>
                </m:sSub>
                <m:r>
                  <w:rPr>
                    <w:rFonts w:ascii="Cambria Math" w:eastAsiaTheme="minorEastAsia" w:hAnsi="Cambria Math"/>
                    <w:lang w:eastAsia="zh-CN"/>
                  </w:rPr>
                  <m:t xml:space="preserve">×R×v </m:t>
                </m:r>
              </m:num>
              <m:den>
                <m:r>
                  <w:rPr>
                    <w:rFonts w:ascii="Cambria Math" w:eastAsiaTheme="minorEastAsia" w:hAnsi="Cambria Math"/>
                    <w:lang w:eastAsia="zh-CN"/>
                  </w:rPr>
                  <m:t xml:space="preserve">8* </m:t>
                </m:r>
                <m:d>
                  <m:dPr>
                    <m:begChr m:val="⌈"/>
                    <m:endChr m:val="⌉"/>
                    <m:ctrlPr>
                      <w:rPr>
                        <w:rFonts w:ascii="Cambria Math" w:eastAsiaTheme="minorEastAsia" w:hAnsi="Cambria Math"/>
                        <w:i/>
                        <w:lang w:eastAsia="zh-CN"/>
                      </w:rPr>
                    </m:ctrlPr>
                  </m:dPr>
                  <m:e>
                    <m:f>
                      <m:fPr>
                        <m:ctrlPr>
                          <w:rPr>
                            <w:rFonts w:ascii="Cambria Math" w:eastAsiaTheme="minorEastAsia" w:hAnsi="Cambria Math"/>
                            <w:i/>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RE</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Q</m:t>
                            </m:r>
                          </m:e>
                          <m:sub>
                            <m:r>
                              <w:rPr>
                                <w:rFonts w:ascii="Cambria Math" w:eastAsiaTheme="minorEastAsia" w:hAnsi="Cambria Math"/>
                                <w:lang w:eastAsia="zh-CN"/>
                              </w:rPr>
                              <m:t>m</m:t>
                            </m:r>
                          </m:sub>
                        </m:sSub>
                        <m:r>
                          <w:rPr>
                            <w:rFonts w:ascii="Cambria Math" w:eastAsiaTheme="minorEastAsia" w:hAnsi="Cambria Math"/>
                            <w:lang w:eastAsia="zh-CN"/>
                          </w:rPr>
                          <m:t>×R×v +24</m:t>
                        </m:r>
                      </m:num>
                      <m:den>
                        <m:r>
                          <w:rPr>
                            <w:rFonts w:ascii="Cambria Math" w:eastAsiaTheme="minorEastAsia" w:hAnsi="Cambria Math"/>
                            <w:lang w:eastAsia="zh-CN"/>
                          </w:rPr>
                          <m:t>8424</m:t>
                        </m:r>
                      </m:den>
                    </m:f>
                  </m:e>
                </m:d>
              </m:den>
            </m:f>
          </m:e>
        </m:d>
        <m:r>
          <w:rPr>
            <w:rFonts w:ascii="Cambria Math" w:eastAsiaTheme="minorEastAsia" w:hAnsi="Cambria Math"/>
            <w:lang w:eastAsia="zh-CN"/>
          </w:rPr>
          <m:t xml:space="preserve">* 8* </m:t>
        </m:r>
        <m:d>
          <m:dPr>
            <m:begChr m:val="⌈"/>
            <m:endChr m:val="⌉"/>
            <m:ctrlPr>
              <w:rPr>
                <w:rFonts w:ascii="Cambria Math" w:eastAsiaTheme="minorEastAsia" w:hAnsi="Cambria Math"/>
                <w:i/>
                <w:lang w:eastAsia="zh-CN"/>
              </w:rPr>
            </m:ctrlPr>
          </m:dPr>
          <m:e>
            <m:f>
              <m:fPr>
                <m:ctrlPr>
                  <w:rPr>
                    <w:rFonts w:ascii="Cambria Math" w:eastAsiaTheme="minorEastAsia" w:hAnsi="Cambria Math"/>
                    <w:i/>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RE</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Q</m:t>
                    </m:r>
                  </m:e>
                  <m:sub>
                    <m:r>
                      <w:rPr>
                        <w:rFonts w:ascii="Cambria Math" w:eastAsiaTheme="minorEastAsia" w:hAnsi="Cambria Math"/>
                        <w:lang w:eastAsia="zh-CN"/>
                      </w:rPr>
                      <m:t>m</m:t>
                    </m:r>
                  </m:sub>
                </m:sSub>
                <m:r>
                  <w:rPr>
                    <w:rFonts w:ascii="Cambria Math" w:eastAsiaTheme="minorEastAsia" w:hAnsi="Cambria Math"/>
                    <w:lang w:eastAsia="zh-CN"/>
                  </w:rPr>
                  <m:t>×R×v +24</m:t>
                </m:r>
              </m:num>
              <m:den>
                <m:r>
                  <w:rPr>
                    <w:rFonts w:ascii="Cambria Math" w:eastAsiaTheme="minorEastAsia" w:hAnsi="Cambria Math"/>
                    <w:lang w:eastAsia="zh-CN"/>
                  </w:rPr>
                  <m:t>8424</m:t>
                </m:r>
              </m:den>
            </m:f>
          </m:e>
        </m:d>
      </m:oMath>
      <w:r w:rsidRPr="3E61DC49">
        <w:rPr>
          <w:rFonts w:eastAsiaTheme="minorEastAsia"/>
          <w:i/>
          <w:iCs/>
          <w:lang w:eastAsia="zh-CN"/>
        </w:rPr>
        <w:t>,</w:t>
      </w:r>
    </w:p>
    <w:p w14:paraId="6CB8A7D3" w14:textId="77777777" w:rsidR="00C95609" w:rsidRPr="005F717C" w:rsidRDefault="00C95609" w:rsidP="00C95609">
      <w:pPr>
        <w:jc w:val="both"/>
        <w:rPr>
          <w:i/>
          <w:iCs/>
          <w:lang w:val="en-US"/>
        </w:rPr>
      </w:pPr>
      <w:r w:rsidRPr="3E61DC49">
        <w:rPr>
          <w:rFonts w:eastAsiaTheme="minorEastAsia"/>
          <w:i/>
          <w:iCs/>
          <w:lang w:eastAsia="zh-CN"/>
        </w:rPr>
        <w:t xml:space="preserve">where,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RE</m:t>
            </m:r>
          </m:sub>
        </m:sSub>
      </m:oMath>
      <w:r w:rsidRPr="3E61DC49">
        <w:rPr>
          <w:i/>
          <w:iCs/>
          <w:lang w:val="en-US"/>
        </w:rPr>
        <w:t xml:space="preserve"> = Resource elements, </w:t>
      </w:r>
      <m:oMath>
        <m:sSub>
          <m:sSubPr>
            <m:ctrlPr>
              <w:rPr>
                <w:rFonts w:ascii="Cambria Math" w:eastAsiaTheme="minorEastAsia" w:hAnsi="Cambria Math"/>
                <w:i/>
                <w:lang w:eastAsia="zh-CN"/>
              </w:rPr>
            </m:ctrlPr>
          </m:sSubPr>
          <m:e>
            <m:r>
              <w:rPr>
                <w:rFonts w:ascii="Cambria Math" w:eastAsiaTheme="minorEastAsia" w:hAnsi="Cambria Math"/>
                <w:lang w:eastAsia="zh-CN"/>
              </w:rPr>
              <m:t>Q</m:t>
            </m:r>
          </m:e>
          <m:sub>
            <m:r>
              <w:rPr>
                <w:rFonts w:ascii="Cambria Math" w:eastAsiaTheme="minorEastAsia" w:hAnsi="Cambria Math"/>
                <w:lang w:eastAsia="zh-CN"/>
              </w:rPr>
              <m:t>m</m:t>
            </m:r>
          </m:sub>
        </m:sSub>
      </m:oMath>
      <w:r w:rsidRPr="3E61DC49">
        <w:rPr>
          <w:i/>
          <w:iCs/>
          <w:lang w:val="en-US"/>
        </w:rPr>
        <w:t xml:space="preserve"> = Modulation order, </w:t>
      </w:r>
      <m:oMath>
        <m:r>
          <w:rPr>
            <w:rFonts w:ascii="Cambria Math" w:eastAsiaTheme="minorEastAsia" w:hAnsi="Cambria Math"/>
            <w:lang w:eastAsia="zh-CN"/>
          </w:rPr>
          <m:t>R</m:t>
        </m:r>
      </m:oMath>
      <w:r w:rsidRPr="3E61DC49">
        <w:rPr>
          <w:i/>
          <w:iCs/>
          <w:lang w:val="en-US"/>
        </w:rPr>
        <w:t xml:space="preserve"> = code rate, and </w:t>
      </w:r>
      <m:oMath>
        <m:r>
          <w:rPr>
            <w:rFonts w:ascii="Cambria Math" w:eastAsiaTheme="minorEastAsia" w:hAnsi="Cambria Math"/>
            <w:lang w:eastAsia="zh-CN"/>
          </w:rPr>
          <m:t>v</m:t>
        </m:r>
      </m:oMath>
      <w:r w:rsidRPr="3E61DC49">
        <w:rPr>
          <w:i/>
          <w:iCs/>
          <w:lang w:val="en-US"/>
        </w:rPr>
        <w:t xml:space="preserve"> = number of layers  </w:t>
      </w:r>
    </w:p>
    <w:p w14:paraId="030B3BFF" w14:textId="77777777" w:rsidR="00C95609" w:rsidRDefault="00C95609" w:rsidP="00C95609">
      <w:pPr>
        <w:rPr>
          <w:i/>
          <w:iCs/>
        </w:rPr>
      </w:pPr>
      <w:r w:rsidRPr="3E61DC49">
        <w:rPr>
          <w:b/>
          <w:bCs/>
          <w:i/>
          <w:iCs/>
        </w:rPr>
        <w:t>Proposal 1</w:t>
      </w:r>
      <w:r>
        <w:rPr>
          <w:b/>
          <w:bCs/>
          <w:i/>
          <w:iCs/>
        </w:rPr>
        <w:t>8</w:t>
      </w:r>
      <w:r w:rsidRPr="3E61DC49">
        <w:rPr>
          <w:b/>
          <w:bCs/>
          <w:i/>
          <w:iCs/>
        </w:rPr>
        <w:t>:</w:t>
      </w:r>
      <w:r w:rsidRPr="3E61DC49">
        <w:rPr>
          <w:i/>
          <w:iCs/>
        </w:rPr>
        <w:t xml:space="preserve"> In case of slot aggregation in Rel-15, the following two options are supported: (1)</w:t>
      </w:r>
      <w:r>
        <w:t xml:space="preserve"> </w:t>
      </w:r>
      <w:r w:rsidRPr="3E61DC49">
        <w:rPr>
          <w:i/>
          <w:iCs/>
        </w:rPr>
        <w:t>one TB is mapped to multiple slots, and the TBS is determined in the same way as in single-slot scheduling; (2) one TB is mapped to each slot.</w:t>
      </w:r>
    </w:p>
    <w:p w14:paraId="30E029F2" w14:textId="669531D3" w:rsidR="0034111C" w:rsidRPr="00521425" w:rsidRDefault="3E61DC49">
      <w:pPr>
        <w:pStyle w:val="Heading1"/>
      </w:pPr>
      <w:r>
        <w:t>References</w:t>
      </w:r>
    </w:p>
    <w:p w14:paraId="0A928E75" w14:textId="5A7F7FF6" w:rsidR="006641F4" w:rsidRPr="00A44B43" w:rsidRDefault="10E807B4" w:rsidP="10E807B4">
      <w:pPr>
        <w:pStyle w:val="NormalWeb"/>
        <w:numPr>
          <w:ilvl w:val="0"/>
          <w:numId w:val="1"/>
        </w:numPr>
        <w:spacing w:before="0" w:beforeAutospacing="0" w:after="120" w:afterAutospacing="0"/>
        <w:rPr>
          <w:sz w:val="20"/>
          <w:szCs w:val="20"/>
        </w:rPr>
      </w:pPr>
      <w:bookmarkStart w:id="4" w:name="_Ref485388646"/>
      <w:r w:rsidRPr="10E807B4">
        <w:rPr>
          <w:sz w:val="20"/>
          <w:szCs w:val="20"/>
        </w:rPr>
        <w:t>R1-1710989, “</w:t>
      </w:r>
      <w:r w:rsidRPr="00A75A52">
        <w:rPr>
          <w:i/>
          <w:sz w:val="20"/>
          <w:szCs w:val="20"/>
        </w:rPr>
        <w:t>On resource allocation in frequency domain for PDSCH and PUSCH in NR</w:t>
      </w:r>
      <w:r w:rsidRPr="00A44B43">
        <w:rPr>
          <w:sz w:val="20"/>
          <w:szCs w:val="20"/>
        </w:rPr>
        <w:t>”, Nokia, Alcatel-Lucent Shanghai Bell, RAN1 NR#2, June 2017.</w:t>
      </w:r>
      <w:bookmarkEnd w:id="4"/>
    </w:p>
    <w:p w14:paraId="75BA83B8" w14:textId="4F58537C" w:rsidR="008D4B7F" w:rsidRPr="00A44B43" w:rsidRDefault="008D4B7F" w:rsidP="00D16058">
      <w:pPr>
        <w:pStyle w:val="NormalWeb"/>
        <w:numPr>
          <w:ilvl w:val="0"/>
          <w:numId w:val="1"/>
        </w:numPr>
        <w:spacing w:before="0" w:beforeAutospacing="0" w:after="120" w:afterAutospacing="0"/>
        <w:rPr>
          <w:sz w:val="20"/>
          <w:szCs w:val="20"/>
        </w:rPr>
      </w:pPr>
      <w:bookmarkStart w:id="5" w:name="_Ref492459514"/>
      <w:r w:rsidRPr="00A16462">
        <w:rPr>
          <w:sz w:val="20"/>
          <w:szCs w:val="20"/>
        </w:rPr>
        <w:t>R1-171</w:t>
      </w:r>
      <w:r w:rsidR="00D16058">
        <w:rPr>
          <w:sz w:val="20"/>
          <w:szCs w:val="20"/>
        </w:rPr>
        <w:t>5755</w:t>
      </w:r>
      <w:r w:rsidRPr="00A75A52">
        <w:rPr>
          <w:sz w:val="20"/>
          <w:szCs w:val="20"/>
        </w:rPr>
        <w:t>, “</w:t>
      </w:r>
      <w:r w:rsidR="00D16058" w:rsidRPr="00D16058">
        <w:rPr>
          <w:i/>
          <w:sz w:val="20"/>
          <w:szCs w:val="20"/>
        </w:rPr>
        <w:t>On remaining aspects of NR CA/DC and BWPs</w:t>
      </w:r>
      <w:r w:rsidRPr="00A75A52">
        <w:rPr>
          <w:sz w:val="20"/>
          <w:szCs w:val="20"/>
        </w:rPr>
        <w:t>”, Nokia, Nokia Shanghai Bell, RAN1</w:t>
      </w:r>
      <w:r w:rsidR="00D16058">
        <w:rPr>
          <w:sz w:val="20"/>
          <w:szCs w:val="20"/>
        </w:rPr>
        <w:t>-NRAH#3</w:t>
      </w:r>
      <w:r w:rsidRPr="00A75A52">
        <w:rPr>
          <w:sz w:val="20"/>
          <w:szCs w:val="20"/>
        </w:rPr>
        <w:t xml:space="preserve">, </w:t>
      </w:r>
      <w:r w:rsidR="00D16058">
        <w:rPr>
          <w:sz w:val="20"/>
          <w:szCs w:val="20"/>
        </w:rPr>
        <w:t>Sep</w:t>
      </w:r>
      <w:r w:rsidRPr="00A75A52">
        <w:rPr>
          <w:sz w:val="20"/>
          <w:szCs w:val="20"/>
        </w:rPr>
        <w:t>. 2017.</w:t>
      </w:r>
      <w:bookmarkEnd w:id="5"/>
    </w:p>
    <w:p w14:paraId="4B68AB0B" w14:textId="23C65A9C" w:rsidR="32975CEE" w:rsidRPr="00A44B43" w:rsidRDefault="10E807B4" w:rsidP="10E807B4">
      <w:pPr>
        <w:pStyle w:val="NormalWeb"/>
        <w:numPr>
          <w:ilvl w:val="0"/>
          <w:numId w:val="1"/>
        </w:numPr>
        <w:spacing w:before="0" w:beforeAutospacing="0" w:after="120" w:afterAutospacing="0"/>
        <w:rPr>
          <w:sz w:val="20"/>
          <w:szCs w:val="20"/>
        </w:rPr>
      </w:pPr>
      <w:r w:rsidRPr="00A44B43">
        <w:rPr>
          <w:rFonts w:eastAsia="Calibri"/>
          <w:sz w:val="20"/>
          <w:szCs w:val="20"/>
          <w:lang w:val="en-GB"/>
        </w:rPr>
        <w:t>R4-1702019, Reply LS on subcarrier spacing and carrier frequencies, RAN4</w:t>
      </w:r>
    </w:p>
    <w:p w14:paraId="51FAD291" w14:textId="5BC63573" w:rsidR="32975CEE" w:rsidRPr="00A44B43" w:rsidRDefault="10E807B4" w:rsidP="10E807B4">
      <w:pPr>
        <w:pStyle w:val="NormalWeb"/>
        <w:numPr>
          <w:ilvl w:val="0"/>
          <w:numId w:val="1"/>
        </w:numPr>
        <w:spacing w:before="0" w:beforeAutospacing="0" w:after="120" w:afterAutospacing="0"/>
        <w:rPr>
          <w:sz w:val="20"/>
          <w:szCs w:val="20"/>
          <w:lang w:val="en-GB"/>
        </w:rPr>
      </w:pPr>
      <w:r w:rsidRPr="00A44B43">
        <w:rPr>
          <w:rFonts w:eastAsia="Calibri"/>
          <w:sz w:val="20"/>
          <w:szCs w:val="20"/>
          <w:lang w:val="en-GB"/>
        </w:rPr>
        <w:t>3GPP TR38.80</w:t>
      </w:r>
      <w:r w:rsidR="00A75A52">
        <w:rPr>
          <w:rFonts w:eastAsia="Calibri"/>
          <w:sz w:val="20"/>
          <w:szCs w:val="20"/>
          <w:lang w:val="en-GB"/>
        </w:rPr>
        <w:t>2</w:t>
      </w:r>
      <w:r w:rsidRPr="00A44B43">
        <w:rPr>
          <w:rFonts w:eastAsia="Calibri"/>
          <w:sz w:val="20"/>
          <w:szCs w:val="20"/>
          <w:lang w:val="en-GB"/>
        </w:rPr>
        <w:t>. Study on New Radio (NR) Access Technology; Physical Layer Aspects. V2.0.0</w:t>
      </w:r>
    </w:p>
    <w:p w14:paraId="6E1FBBEA" w14:textId="39C01017" w:rsidR="00A44B43" w:rsidRPr="00A44B43" w:rsidRDefault="00A44B43" w:rsidP="00A44B43">
      <w:pPr>
        <w:pStyle w:val="NormalWeb"/>
        <w:spacing w:before="0" w:beforeAutospacing="0" w:after="120" w:afterAutospacing="0"/>
        <w:rPr>
          <w:sz w:val="20"/>
          <w:szCs w:val="20"/>
          <w:lang w:val="en-GB"/>
        </w:rPr>
      </w:pPr>
    </w:p>
    <w:sectPr w:rsidR="00A44B43" w:rsidRPr="00A44B43"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306E32" w14:textId="77777777" w:rsidR="00442DE1" w:rsidRDefault="00442DE1">
      <w:r>
        <w:separator/>
      </w:r>
    </w:p>
  </w:endnote>
  <w:endnote w:type="continuationSeparator" w:id="0">
    <w:p w14:paraId="45D47883" w14:textId="77777777" w:rsidR="00442DE1" w:rsidRDefault="00442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CAE2CC" w14:textId="77777777" w:rsidR="00442DE1" w:rsidRDefault="00442DE1">
      <w:r>
        <w:separator/>
      </w:r>
    </w:p>
  </w:footnote>
  <w:footnote w:type="continuationSeparator" w:id="0">
    <w:p w14:paraId="0D3FFBF0" w14:textId="77777777" w:rsidR="00442DE1" w:rsidRDefault="00442D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128CB"/>
    <w:multiLevelType w:val="hybridMultilevel"/>
    <w:tmpl w:val="4502B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838041A"/>
    <w:multiLevelType w:val="hybridMultilevel"/>
    <w:tmpl w:val="736466D2"/>
    <w:lvl w:ilvl="0" w:tplc="3710F2E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DE675D"/>
    <w:multiLevelType w:val="hybridMultilevel"/>
    <w:tmpl w:val="EB76C374"/>
    <w:lvl w:ilvl="0" w:tplc="040B000F">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 w15:restartNumberingAfterBreak="0">
    <w:nsid w:val="096923C7"/>
    <w:multiLevelType w:val="hybridMultilevel"/>
    <w:tmpl w:val="7EA64EDE"/>
    <w:lvl w:ilvl="0" w:tplc="F44A5156">
      <w:start w:val="1"/>
      <w:numFmt w:val="bullet"/>
      <w:lvlText w:val="•"/>
      <w:lvlJc w:val="left"/>
      <w:pPr>
        <w:tabs>
          <w:tab w:val="num" w:pos="720"/>
        </w:tabs>
        <w:ind w:left="720" w:hanging="360"/>
      </w:pPr>
      <w:rPr>
        <w:rFonts w:ascii="Arial" w:hAnsi="Arial" w:hint="default"/>
      </w:rPr>
    </w:lvl>
    <w:lvl w:ilvl="1" w:tplc="AE0EC038">
      <w:start w:val="2419"/>
      <w:numFmt w:val="bullet"/>
      <w:lvlText w:val="–"/>
      <w:lvlJc w:val="left"/>
      <w:pPr>
        <w:tabs>
          <w:tab w:val="num" w:pos="1440"/>
        </w:tabs>
        <w:ind w:left="1440" w:hanging="360"/>
      </w:pPr>
      <w:rPr>
        <w:rFonts w:ascii="Arial" w:hAnsi="Arial" w:hint="default"/>
      </w:rPr>
    </w:lvl>
    <w:lvl w:ilvl="2" w:tplc="BE381CF0" w:tentative="1">
      <w:start w:val="1"/>
      <w:numFmt w:val="bullet"/>
      <w:lvlText w:val="•"/>
      <w:lvlJc w:val="left"/>
      <w:pPr>
        <w:tabs>
          <w:tab w:val="num" w:pos="2160"/>
        </w:tabs>
        <w:ind w:left="2160" w:hanging="360"/>
      </w:pPr>
      <w:rPr>
        <w:rFonts w:ascii="Arial" w:hAnsi="Arial" w:hint="default"/>
      </w:rPr>
    </w:lvl>
    <w:lvl w:ilvl="3" w:tplc="62F6100A" w:tentative="1">
      <w:start w:val="1"/>
      <w:numFmt w:val="bullet"/>
      <w:lvlText w:val="•"/>
      <w:lvlJc w:val="left"/>
      <w:pPr>
        <w:tabs>
          <w:tab w:val="num" w:pos="2880"/>
        </w:tabs>
        <w:ind w:left="2880" w:hanging="360"/>
      </w:pPr>
      <w:rPr>
        <w:rFonts w:ascii="Arial" w:hAnsi="Arial" w:hint="default"/>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42420D"/>
    <w:multiLevelType w:val="hybridMultilevel"/>
    <w:tmpl w:val="ADEE37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B01B6D"/>
    <w:multiLevelType w:val="hybridMultilevel"/>
    <w:tmpl w:val="DEA8520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2283862"/>
    <w:multiLevelType w:val="hybridMultilevel"/>
    <w:tmpl w:val="80E4484A"/>
    <w:lvl w:ilvl="0" w:tplc="80DCF69C">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3D1BCF"/>
    <w:multiLevelType w:val="hybridMultilevel"/>
    <w:tmpl w:val="026E7FD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16306A98"/>
    <w:multiLevelType w:val="hybridMultilevel"/>
    <w:tmpl w:val="40B28190"/>
    <w:lvl w:ilvl="0" w:tplc="489293B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80C2AA8"/>
    <w:multiLevelType w:val="hybridMultilevel"/>
    <w:tmpl w:val="4F2259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E7382E"/>
    <w:multiLevelType w:val="hybridMultilevel"/>
    <w:tmpl w:val="D62E45D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7024446">
      <w:numFmt w:val="bullet"/>
      <w:lvlText w:val="–"/>
      <w:lvlJc w:val="left"/>
      <w:pPr>
        <w:ind w:left="4660" w:hanging="1212"/>
      </w:pPr>
      <w:rPr>
        <w:rFonts w:ascii="Times New Roman" w:eastAsia="MS Mincho" w:hAnsi="Times New Roman" w:cs="Times New Roman" w:hint="default"/>
      </w:rPr>
    </w:lvl>
    <w:lvl w:ilvl="5" w:tplc="029C7792">
      <w:numFmt w:val="bullet"/>
      <w:lvlText w:val="•"/>
      <w:lvlJc w:val="left"/>
      <w:pPr>
        <w:ind w:left="4393" w:hanging="225"/>
      </w:pPr>
      <w:rPr>
        <w:rFonts w:ascii="Times New Roman" w:eastAsia="MS Mincho" w:hAnsi="Times New Roman" w:cs="Times New Roman"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1FD027C6"/>
    <w:multiLevelType w:val="hybridMultilevel"/>
    <w:tmpl w:val="400A1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17658A6"/>
    <w:multiLevelType w:val="hybridMultilevel"/>
    <w:tmpl w:val="28BE80BE"/>
    <w:lvl w:ilvl="0" w:tplc="8314F634">
      <w:start w:val="1"/>
      <w:numFmt w:val="bullet"/>
      <w:lvlText w:val="•"/>
      <w:lvlJc w:val="left"/>
      <w:pPr>
        <w:tabs>
          <w:tab w:val="num" w:pos="720"/>
        </w:tabs>
        <w:ind w:left="720" w:hanging="360"/>
      </w:pPr>
      <w:rPr>
        <w:rFonts w:ascii="Arial" w:hAnsi="Arial" w:hint="default"/>
      </w:rPr>
    </w:lvl>
    <w:lvl w:ilvl="1" w:tplc="B55E8736">
      <w:numFmt w:val="bullet"/>
      <w:lvlText w:val="•"/>
      <w:lvlJc w:val="left"/>
      <w:pPr>
        <w:tabs>
          <w:tab w:val="num" w:pos="1440"/>
        </w:tabs>
        <w:ind w:left="1440" w:hanging="360"/>
      </w:pPr>
      <w:rPr>
        <w:rFonts w:ascii="Arial" w:hAnsi="Arial" w:hint="default"/>
      </w:rPr>
    </w:lvl>
    <w:lvl w:ilvl="2" w:tplc="A69A12A2" w:tentative="1">
      <w:start w:val="1"/>
      <w:numFmt w:val="bullet"/>
      <w:lvlText w:val="•"/>
      <w:lvlJc w:val="left"/>
      <w:pPr>
        <w:tabs>
          <w:tab w:val="num" w:pos="2160"/>
        </w:tabs>
        <w:ind w:left="2160" w:hanging="360"/>
      </w:pPr>
      <w:rPr>
        <w:rFonts w:ascii="Arial" w:hAnsi="Arial" w:hint="default"/>
      </w:rPr>
    </w:lvl>
    <w:lvl w:ilvl="3" w:tplc="1CA8B7F2" w:tentative="1">
      <w:start w:val="1"/>
      <w:numFmt w:val="bullet"/>
      <w:lvlText w:val="•"/>
      <w:lvlJc w:val="left"/>
      <w:pPr>
        <w:tabs>
          <w:tab w:val="num" w:pos="2880"/>
        </w:tabs>
        <w:ind w:left="2880" w:hanging="360"/>
      </w:pPr>
      <w:rPr>
        <w:rFonts w:ascii="Arial" w:hAnsi="Arial" w:hint="default"/>
      </w:rPr>
    </w:lvl>
    <w:lvl w:ilvl="4" w:tplc="68726D02" w:tentative="1">
      <w:start w:val="1"/>
      <w:numFmt w:val="bullet"/>
      <w:lvlText w:val="•"/>
      <w:lvlJc w:val="left"/>
      <w:pPr>
        <w:tabs>
          <w:tab w:val="num" w:pos="3600"/>
        </w:tabs>
        <w:ind w:left="3600" w:hanging="360"/>
      </w:pPr>
      <w:rPr>
        <w:rFonts w:ascii="Arial" w:hAnsi="Arial" w:hint="default"/>
      </w:rPr>
    </w:lvl>
    <w:lvl w:ilvl="5" w:tplc="86C017A6" w:tentative="1">
      <w:start w:val="1"/>
      <w:numFmt w:val="bullet"/>
      <w:lvlText w:val="•"/>
      <w:lvlJc w:val="left"/>
      <w:pPr>
        <w:tabs>
          <w:tab w:val="num" w:pos="4320"/>
        </w:tabs>
        <w:ind w:left="4320" w:hanging="360"/>
      </w:pPr>
      <w:rPr>
        <w:rFonts w:ascii="Arial" w:hAnsi="Arial" w:hint="default"/>
      </w:rPr>
    </w:lvl>
    <w:lvl w:ilvl="6" w:tplc="881C2D66" w:tentative="1">
      <w:start w:val="1"/>
      <w:numFmt w:val="bullet"/>
      <w:lvlText w:val="•"/>
      <w:lvlJc w:val="left"/>
      <w:pPr>
        <w:tabs>
          <w:tab w:val="num" w:pos="5040"/>
        </w:tabs>
        <w:ind w:left="5040" w:hanging="360"/>
      </w:pPr>
      <w:rPr>
        <w:rFonts w:ascii="Arial" w:hAnsi="Arial" w:hint="default"/>
      </w:rPr>
    </w:lvl>
    <w:lvl w:ilvl="7" w:tplc="0A106DF0" w:tentative="1">
      <w:start w:val="1"/>
      <w:numFmt w:val="bullet"/>
      <w:lvlText w:val="•"/>
      <w:lvlJc w:val="left"/>
      <w:pPr>
        <w:tabs>
          <w:tab w:val="num" w:pos="5760"/>
        </w:tabs>
        <w:ind w:left="5760" w:hanging="360"/>
      </w:pPr>
      <w:rPr>
        <w:rFonts w:ascii="Arial" w:hAnsi="Arial" w:hint="default"/>
      </w:rPr>
    </w:lvl>
    <w:lvl w:ilvl="8" w:tplc="EC98440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1E20C8A"/>
    <w:multiLevelType w:val="hybridMultilevel"/>
    <w:tmpl w:val="7B7486D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021B51"/>
    <w:multiLevelType w:val="hybridMultilevel"/>
    <w:tmpl w:val="657482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7FE6D0B"/>
    <w:multiLevelType w:val="hybridMultilevel"/>
    <w:tmpl w:val="1166DC1C"/>
    <w:lvl w:ilvl="0" w:tplc="A878B154">
      <w:start w:val="1"/>
      <w:numFmt w:val="bullet"/>
      <w:lvlText w:val="•"/>
      <w:lvlJc w:val="left"/>
      <w:pPr>
        <w:tabs>
          <w:tab w:val="num" w:pos="720"/>
        </w:tabs>
        <w:ind w:left="720" w:hanging="360"/>
      </w:pPr>
      <w:rPr>
        <w:rFonts w:ascii="Arial" w:hAnsi="Arial" w:cs="Times New Roman" w:hint="default"/>
      </w:rPr>
    </w:lvl>
    <w:lvl w:ilvl="1" w:tplc="8C5AF78C">
      <w:start w:val="1566"/>
      <w:numFmt w:val="bullet"/>
      <w:lvlText w:val="–"/>
      <w:lvlJc w:val="left"/>
      <w:pPr>
        <w:tabs>
          <w:tab w:val="num" w:pos="1440"/>
        </w:tabs>
        <w:ind w:left="1440" w:hanging="360"/>
      </w:pPr>
      <w:rPr>
        <w:rFonts w:ascii="Arial" w:hAnsi="Arial" w:cs="Times New Roman" w:hint="default"/>
      </w:rPr>
    </w:lvl>
    <w:lvl w:ilvl="2" w:tplc="5872A57E">
      <w:start w:val="1"/>
      <w:numFmt w:val="decimal"/>
      <w:lvlText w:val="%3."/>
      <w:lvlJc w:val="left"/>
      <w:pPr>
        <w:tabs>
          <w:tab w:val="num" w:pos="2160"/>
        </w:tabs>
        <w:ind w:left="2160" w:hanging="360"/>
      </w:pPr>
    </w:lvl>
    <w:lvl w:ilvl="3" w:tplc="5E3EF232">
      <w:start w:val="1"/>
      <w:numFmt w:val="decimal"/>
      <w:lvlText w:val="%4."/>
      <w:lvlJc w:val="left"/>
      <w:pPr>
        <w:tabs>
          <w:tab w:val="num" w:pos="2880"/>
        </w:tabs>
        <w:ind w:left="2880" w:hanging="360"/>
      </w:pPr>
    </w:lvl>
    <w:lvl w:ilvl="4" w:tplc="18028D06">
      <w:start w:val="1"/>
      <w:numFmt w:val="decimal"/>
      <w:lvlText w:val="%5."/>
      <w:lvlJc w:val="left"/>
      <w:pPr>
        <w:tabs>
          <w:tab w:val="num" w:pos="3600"/>
        </w:tabs>
        <w:ind w:left="3600" w:hanging="360"/>
      </w:pPr>
    </w:lvl>
    <w:lvl w:ilvl="5" w:tplc="9E7212F6">
      <w:start w:val="1"/>
      <w:numFmt w:val="decimal"/>
      <w:lvlText w:val="%6."/>
      <w:lvlJc w:val="left"/>
      <w:pPr>
        <w:tabs>
          <w:tab w:val="num" w:pos="4320"/>
        </w:tabs>
        <w:ind w:left="4320" w:hanging="360"/>
      </w:pPr>
    </w:lvl>
    <w:lvl w:ilvl="6" w:tplc="CB76162A">
      <w:start w:val="1"/>
      <w:numFmt w:val="decimal"/>
      <w:lvlText w:val="%7."/>
      <w:lvlJc w:val="left"/>
      <w:pPr>
        <w:tabs>
          <w:tab w:val="num" w:pos="5040"/>
        </w:tabs>
        <w:ind w:left="5040" w:hanging="360"/>
      </w:pPr>
    </w:lvl>
    <w:lvl w:ilvl="7" w:tplc="CAE2C602">
      <w:start w:val="1"/>
      <w:numFmt w:val="decimal"/>
      <w:lvlText w:val="%8."/>
      <w:lvlJc w:val="left"/>
      <w:pPr>
        <w:tabs>
          <w:tab w:val="num" w:pos="5760"/>
        </w:tabs>
        <w:ind w:left="5760" w:hanging="360"/>
      </w:pPr>
    </w:lvl>
    <w:lvl w:ilvl="8" w:tplc="D06668F8">
      <w:start w:val="1"/>
      <w:numFmt w:val="decimal"/>
      <w:lvlText w:val="%9."/>
      <w:lvlJc w:val="left"/>
      <w:pPr>
        <w:tabs>
          <w:tab w:val="num" w:pos="6480"/>
        </w:tabs>
        <w:ind w:left="6480" w:hanging="360"/>
      </w:pPr>
    </w:lvl>
  </w:abstractNum>
  <w:abstractNum w:abstractNumId="18" w15:restartNumberingAfterBreak="0">
    <w:nsid w:val="282262BC"/>
    <w:multiLevelType w:val="hybridMultilevel"/>
    <w:tmpl w:val="EB76C374"/>
    <w:lvl w:ilvl="0" w:tplc="040B000F">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350EC1F6"/>
    <w:lvl w:ilvl="0" w:tplc="FFFFFFFF">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701C82"/>
    <w:multiLevelType w:val="hybridMultilevel"/>
    <w:tmpl w:val="72C0C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545BE6"/>
    <w:multiLevelType w:val="hybridMultilevel"/>
    <w:tmpl w:val="B0D6B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22547D"/>
    <w:multiLevelType w:val="hybridMultilevel"/>
    <w:tmpl w:val="18ACDD64"/>
    <w:lvl w:ilvl="0" w:tplc="D67607F6">
      <w:start w:val="1"/>
      <w:numFmt w:val="bullet"/>
      <w:lvlText w:val="•"/>
      <w:lvlJc w:val="left"/>
      <w:pPr>
        <w:tabs>
          <w:tab w:val="num" w:pos="720"/>
        </w:tabs>
        <w:ind w:left="720" w:hanging="360"/>
      </w:pPr>
      <w:rPr>
        <w:rFonts w:ascii="Arial" w:hAnsi="Arial" w:hint="default"/>
      </w:rPr>
    </w:lvl>
    <w:lvl w:ilvl="1" w:tplc="DB5C0594">
      <w:numFmt w:val="bullet"/>
      <w:lvlText w:val="•"/>
      <w:lvlJc w:val="left"/>
      <w:pPr>
        <w:tabs>
          <w:tab w:val="num" w:pos="1440"/>
        </w:tabs>
        <w:ind w:left="1440" w:hanging="360"/>
      </w:pPr>
      <w:rPr>
        <w:rFonts w:ascii="Arial" w:hAnsi="Arial" w:hint="default"/>
      </w:rPr>
    </w:lvl>
    <w:lvl w:ilvl="2" w:tplc="4A203594">
      <w:numFmt w:val="bullet"/>
      <w:lvlText w:val="•"/>
      <w:lvlJc w:val="left"/>
      <w:pPr>
        <w:tabs>
          <w:tab w:val="num" w:pos="2160"/>
        </w:tabs>
        <w:ind w:left="2160" w:hanging="360"/>
      </w:pPr>
      <w:rPr>
        <w:rFonts w:ascii="Arial" w:hAnsi="Arial" w:hint="default"/>
      </w:rPr>
    </w:lvl>
    <w:lvl w:ilvl="3" w:tplc="E52C55A2" w:tentative="1">
      <w:start w:val="1"/>
      <w:numFmt w:val="bullet"/>
      <w:lvlText w:val="•"/>
      <w:lvlJc w:val="left"/>
      <w:pPr>
        <w:tabs>
          <w:tab w:val="num" w:pos="2880"/>
        </w:tabs>
        <w:ind w:left="2880" w:hanging="360"/>
      </w:pPr>
      <w:rPr>
        <w:rFonts w:ascii="Arial" w:hAnsi="Arial" w:hint="default"/>
      </w:rPr>
    </w:lvl>
    <w:lvl w:ilvl="4" w:tplc="A0F45C18" w:tentative="1">
      <w:start w:val="1"/>
      <w:numFmt w:val="bullet"/>
      <w:lvlText w:val="•"/>
      <w:lvlJc w:val="left"/>
      <w:pPr>
        <w:tabs>
          <w:tab w:val="num" w:pos="3600"/>
        </w:tabs>
        <w:ind w:left="3600" w:hanging="360"/>
      </w:pPr>
      <w:rPr>
        <w:rFonts w:ascii="Arial" w:hAnsi="Arial" w:hint="default"/>
      </w:rPr>
    </w:lvl>
    <w:lvl w:ilvl="5" w:tplc="A1640FB2" w:tentative="1">
      <w:start w:val="1"/>
      <w:numFmt w:val="bullet"/>
      <w:lvlText w:val="•"/>
      <w:lvlJc w:val="left"/>
      <w:pPr>
        <w:tabs>
          <w:tab w:val="num" w:pos="4320"/>
        </w:tabs>
        <w:ind w:left="4320" w:hanging="360"/>
      </w:pPr>
      <w:rPr>
        <w:rFonts w:ascii="Arial" w:hAnsi="Arial" w:hint="default"/>
      </w:rPr>
    </w:lvl>
    <w:lvl w:ilvl="6" w:tplc="5DCE0B68" w:tentative="1">
      <w:start w:val="1"/>
      <w:numFmt w:val="bullet"/>
      <w:lvlText w:val="•"/>
      <w:lvlJc w:val="left"/>
      <w:pPr>
        <w:tabs>
          <w:tab w:val="num" w:pos="5040"/>
        </w:tabs>
        <w:ind w:left="5040" w:hanging="360"/>
      </w:pPr>
      <w:rPr>
        <w:rFonts w:ascii="Arial" w:hAnsi="Arial" w:hint="default"/>
      </w:rPr>
    </w:lvl>
    <w:lvl w:ilvl="7" w:tplc="F45E3DE0" w:tentative="1">
      <w:start w:val="1"/>
      <w:numFmt w:val="bullet"/>
      <w:lvlText w:val="•"/>
      <w:lvlJc w:val="left"/>
      <w:pPr>
        <w:tabs>
          <w:tab w:val="num" w:pos="5760"/>
        </w:tabs>
        <w:ind w:left="5760" w:hanging="360"/>
      </w:pPr>
      <w:rPr>
        <w:rFonts w:ascii="Arial" w:hAnsi="Arial" w:hint="default"/>
      </w:rPr>
    </w:lvl>
    <w:lvl w:ilvl="8" w:tplc="1D16310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CEE301A"/>
    <w:multiLevelType w:val="hybridMultilevel"/>
    <w:tmpl w:val="460CCC26"/>
    <w:lvl w:ilvl="0" w:tplc="5486ECF2">
      <w:start w:val="1"/>
      <w:numFmt w:val="bullet"/>
      <w:lvlText w:val="•"/>
      <w:lvlJc w:val="left"/>
      <w:pPr>
        <w:tabs>
          <w:tab w:val="num" w:pos="360"/>
        </w:tabs>
        <w:ind w:left="360" w:hanging="360"/>
      </w:pPr>
      <w:rPr>
        <w:rFonts w:ascii="Arial" w:hAnsi="Arial" w:cs="Times New Roman" w:hint="default"/>
      </w:rPr>
    </w:lvl>
    <w:lvl w:ilvl="1" w:tplc="A08A3F94">
      <w:numFmt w:val="bullet"/>
      <w:lvlText w:val="•"/>
      <w:lvlJc w:val="left"/>
      <w:pPr>
        <w:tabs>
          <w:tab w:val="num" w:pos="1080"/>
        </w:tabs>
        <w:ind w:left="1080" w:hanging="360"/>
      </w:pPr>
      <w:rPr>
        <w:rFonts w:ascii="Arial" w:hAnsi="Arial" w:cs="Times New Roman" w:hint="default"/>
      </w:rPr>
    </w:lvl>
    <w:lvl w:ilvl="2" w:tplc="99DE762E">
      <w:numFmt w:val="bullet"/>
      <w:lvlText w:val="•"/>
      <w:lvlJc w:val="left"/>
      <w:pPr>
        <w:tabs>
          <w:tab w:val="num" w:pos="1800"/>
        </w:tabs>
        <w:ind w:left="1800" w:hanging="360"/>
      </w:pPr>
      <w:rPr>
        <w:rFonts w:ascii="Arial" w:hAnsi="Arial" w:cs="Times New Roman" w:hint="default"/>
      </w:rPr>
    </w:lvl>
    <w:lvl w:ilvl="3" w:tplc="5596DE66">
      <w:start w:val="1"/>
      <w:numFmt w:val="bullet"/>
      <w:lvlText w:val="•"/>
      <w:lvlJc w:val="left"/>
      <w:pPr>
        <w:tabs>
          <w:tab w:val="num" w:pos="2520"/>
        </w:tabs>
        <w:ind w:left="2520" w:hanging="360"/>
      </w:pPr>
      <w:rPr>
        <w:rFonts w:ascii="Arial" w:hAnsi="Arial" w:cs="Times New Roman" w:hint="default"/>
      </w:rPr>
    </w:lvl>
    <w:lvl w:ilvl="4" w:tplc="8A16E3F2">
      <w:start w:val="1"/>
      <w:numFmt w:val="bullet"/>
      <w:lvlText w:val="•"/>
      <w:lvlJc w:val="left"/>
      <w:pPr>
        <w:tabs>
          <w:tab w:val="num" w:pos="3240"/>
        </w:tabs>
        <w:ind w:left="3240" w:hanging="360"/>
      </w:pPr>
      <w:rPr>
        <w:rFonts w:ascii="Arial" w:hAnsi="Arial" w:cs="Times New Roman" w:hint="default"/>
      </w:rPr>
    </w:lvl>
    <w:lvl w:ilvl="5" w:tplc="5DCA9958">
      <w:start w:val="1"/>
      <w:numFmt w:val="bullet"/>
      <w:lvlText w:val="•"/>
      <w:lvlJc w:val="left"/>
      <w:pPr>
        <w:tabs>
          <w:tab w:val="num" w:pos="3960"/>
        </w:tabs>
        <w:ind w:left="3960" w:hanging="360"/>
      </w:pPr>
      <w:rPr>
        <w:rFonts w:ascii="Arial" w:hAnsi="Arial" w:cs="Times New Roman" w:hint="default"/>
      </w:rPr>
    </w:lvl>
    <w:lvl w:ilvl="6" w:tplc="3830E41E">
      <w:start w:val="1"/>
      <w:numFmt w:val="bullet"/>
      <w:lvlText w:val="•"/>
      <w:lvlJc w:val="left"/>
      <w:pPr>
        <w:tabs>
          <w:tab w:val="num" w:pos="4680"/>
        </w:tabs>
        <w:ind w:left="4680" w:hanging="360"/>
      </w:pPr>
      <w:rPr>
        <w:rFonts w:ascii="Arial" w:hAnsi="Arial" w:cs="Times New Roman" w:hint="default"/>
      </w:rPr>
    </w:lvl>
    <w:lvl w:ilvl="7" w:tplc="D226AD34">
      <w:start w:val="1"/>
      <w:numFmt w:val="bullet"/>
      <w:lvlText w:val="•"/>
      <w:lvlJc w:val="left"/>
      <w:pPr>
        <w:tabs>
          <w:tab w:val="num" w:pos="5400"/>
        </w:tabs>
        <w:ind w:left="5400" w:hanging="360"/>
      </w:pPr>
      <w:rPr>
        <w:rFonts w:ascii="Arial" w:hAnsi="Arial" w:cs="Times New Roman" w:hint="default"/>
      </w:rPr>
    </w:lvl>
    <w:lvl w:ilvl="8" w:tplc="113C712A">
      <w:start w:val="1"/>
      <w:numFmt w:val="bullet"/>
      <w:lvlText w:val="•"/>
      <w:lvlJc w:val="left"/>
      <w:pPr>
        <w:tabs>
          <w:tab w:val="num" w:pos="6120"/>
        </w:tabs>
        <w:ind w:left="6120" w:hanging="360"/>
      </w:pPr>
      <w:rPr>
        <w:rFonts w:ascii="Arial" w:hAnsi="Arial" w:cs="Times New Roman" w:hint="default"/>
      </w:rPr>
    </w:lvl>
  </w:abstractNum>
  <w:abstractNum w:abstractNumId="24"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17617A3"/>
    <w:multiLevelType w:val="hybridMultilevel"/>
    <w:tmpl w:val="F04058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5B90F10"/>
    <w:multiLevelType w:val="hybridMultilevel"/>
    <w:tmpl w:val="F7621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8D55E1B"/>
    <w:multiLevelType w:val="hybridMultilevel"/>
    <w:tmpl w:val="EC2E3F24"/>
    <w:lvl w:ilvl="0" w:tplc="040B0001">
      <w:start w:val="1"/>
      <w:numFmt w:val="bullet"/>
      <w:lvlText w:val=""/>
      <w:lvlJc w:val="left"/>
      <w:pPr>
        <w:ind w:left="816" w:hanging="360"/>
      </w:pPr>
      <w:rPr>
        <w:rFonts w:ascii="Symbol" w:hAnsi="Symbol" w:hint="default"/>
      </w:rPr>
    </w:lvl>
    <w:lvl w:ilvl="1" w:tplc="040B0003" w:tentative="1">
      <w:start w:val="1"/>
      <w:numFmt w:val="bullet"/>
      <w:lvlText w:val="o"/>
      <w:lvlJc w:val="left"/>
      <w:pPr>
        <w:ind w:left="1536" w:hanging="360"/>
      </w:pPr>
      <w:rPr>
        <w:rFonts w:ascii="Courier New" w:hAnsi="Courier New" w:cs="Courier New" w:hint="default"/>
      </w:rPr>
    </w:lvl>
    <w:lvl w:ilvl="2" w:tplc="040B0005" w:tentative="1">
      <w:start w:val="1"/>
      <w:numFmt w:val="bullet"/>
      <w:lvlText w:val=""/>
      <w:lvlJc w:val="left"/>
      <w:pPr>
        <w:ind w:left="2256" w:hanging="360"/>
      </w:pPr>
      <w:rPr>
        <w:rFonts w:ascii="Wingdings" w:hAnsi="Wingdings" w:hint="default"/>
      </w:rPr>
    </w:lvl>
    <w:lvl w:ilvl="3" w:tplc="040B0001" w:tentative="1">
      <w:start w:val="1"/>
      <w:numFmt w:val="bullet"/>
      <w:lvlText w:val=""/>
      <w:lvlJc w:val="left"/>
      <w:pPr>
        <w:ind w:left="2976" w:hanging="360"/>
      </w:pPr>
      <w:rPr>
        <w:rFonts w:ascii="Symbol" w:hAnsi="Symbol" w:hint="default"/>
      </w:rPr>
    </w:lvl>
    <w:lvl w:ilvl="4" w:tplc="040B0003" w:tentative="1">
      <w:start w:val="1"/>
      <w:numFmt w:val="bullet"/>
      <w:lvlText w:val="o"/>
      <w:lvlJc w:val="left"/>
      <w:pPr>
        <w:ind w:left="3696" w:hanging="360"/>
      </w:pPr>
      <w:rPr>
        <w:rFonts w:ascii="Courier New" w:hAnsi="Courier New" w:cs="Courier New" w:hint="default"/>
      </w:rPr>
    </w:lvl>
    <w:lvl w:ilvl="5" w:tplc="040B0005" w:tentative="1">
      <w:start w:val="1"/>
      <w:numFmt w:val="bullet"/>
      <w:lvlText w:val=""/>
      <w:lvlJc w:val="left"/>
      <w:pPr>
        <w:ind w:left="4416" w:hanging="360"/>
      </w:pPr>
      <w:rPr>
        <w:rFonts w:ascii="Wingdings" w:hAnsi="Wingdings" w:hint="default"/>
      </w:rPr>
    </w:lvl>
    <w:lvl w:ilvl="6" w:tplc="040B0001" w:tentative="1">
      <w:start w:val="1"/>
      <w:numFmt w:val="bullet"/>
      <w:lvlText w:val=""/>
      <w:lvlJc w:val="left"/>
      <w:pPr>
        <w:ind w:left="5136" w:hanging="360"/>
      </w:pPr>
      <w:rPr>
        <w:rFonts w:ascii="Symbol" w:hAnsi="Symbol" w:hint="default"/>
      </w:rPr>
    </w:lvl>
    <w:lvl w:ilvl="7" w:tplc="040B0003" w:tentative="1">
      <w:start w:val="1"/>
      <w:numFmt w:val="bullet"/>
      <w:lvlText w:val="o"/>
      <w:lvlJc w:val="left"/>
      <w:pPr>
        <w:ind w:left="5856" w:hanging="360"/>
      </w:pPr>
      <w:rPr>
        <w:rFonts w:ascii="Courier New" w:hAnsi="Courier New" w:cs="Courier New" w:hint="default"/>
      </w:rPr>
    </w:lvl>
    <w:lvl w:ilvl="8" w:tplc="040B0005" w:tentative="1">
      <w:start w:val="1"/>
      <w:numFmt w:val="bullet"/>
      <w:lvlText w:val=""/>
      <w:lvlJc w:val="left"/>
      <w:pPr>
        <w:ind w:left="6576" w:hanging="360"/>
      </w:pPr>
      <w:rPr>
        <w:rFonts w:ascii="Wingdings" w:hAnsi="Wingdings" w:hint="default"/>
      </w:rPr>
    </w:lvl>
  </w:abstractNum>
  <w:abstractNum w:abstractNumId="28" w15:restartNumberingAfterBreak="0">
    <w:nsid w:val="4B4B4AC1"/>
    <w:multiLevelType w:val="hybridMultilevel"/>
    <w:tmpl w:val="67B88F12"/>
    <w:lvl w:ilvl="0" w:tplc="832C8D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E04B10"/>
    <w:multiLevelType w:val="hybridMultilevel"/>
    <w:tmpl w:val="F42A7DD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4E525788"/>
    <w:multiLevelType w:val="hybridMultilevel"/>
    <w:tmpl w:val="75C22FE2"/>
    <w:lvl w:ilvl="0" w:tplc="42E48786">
      <w:start w:val="1"/>
      <w:numFmt w:val="bullet"/>
      <w:lvlText w:val="•"/>
      <w:lvlJc w:val="left"/>
      <w:pPr>
        <w:tabs>
          <w:tab w:val="num" w:pos="720"/>
        </w:tabs>
        <w:ind w:left="720" w:hanging="360"/>
      </w:pPr>
      <w:rPr>
        <w:rFonts w:ascii="Arial" w:hAnsi="Arial" w:hint="default"/>
      </w:rPr>
    </w:lvl>
    <w:lvl w:ilvl="1" w:tplc="93B408B0">
      <w:start w:val="1782"/>
      <w:numFmt w:val="bullet"/>
      <w:lvlText w:val="–"/>
      <w:lvlJc w:val="left"/>
      <w:pPr>
        <w:tabs>
          <w:tab w:val="num" w:pos="1440"/>
        </w:tabs>
        <w:ind w:left="1440" w:hanging="360"/>
      </w:pPr>
      <w:rPr>
        <w:rFonts w:ascii="Arial" w:hAnsi="Arial" w:hint="default"/>
      </w:rPr>
    </w:lvl>
    <w:lvl w:ilvl="2" w:tplc="B234231C" w:tentative="1">
      <w:start w:val="1"/>
      <w:numFmt w:val="bullet"/>
      <w:lvlText w:val="•"/>
      <w:lvlJc w:val="left"/>
      <w:pPr>
        <w:tabs>
          <w:tab w:val="num" w:pos="2160"/>
        </w:tabs>
        <w:ind w:left="2160" w:hanging="360"/>
      </w:pPr>
      <w:rPr>
        <w:rFonts w:ascii="Arial" w:hAnsi="Arial" w:hint="default"/>
      </w:rPr>
    </w:lvl>
    <w:lvl w:ilvl="3" w:tplc="70F87788" w:tentative="1">
      <w:start w:val="1"/>
      <w:numFmt w:val="bullet"/>
      <w:lvlText w:val="•"/>
      <w:lvlJc w:val="left"/>
      <w:pPr>
        <w:tabs>
          <w:tab w:val="num" w:pos="2880"/>
        </w:tabs>
        <w:ind w:left="2880" w:hanging="360"/>
      </w:pPr>
      <w:rPr>
        <w:rFonts w:ascii="Arial" w:hAnsi="Arial" w:hint="default"/>
      </w:rPr>
    </w:lvl>
    <w:lvl w:ilvl="4" w:tplc="19DECAA0" w:tentative="1">
      <w:start w:val="1"/>
      <w:numFmt w:val="bullet"/>
      <w:lvlText w:val="•"/>
      <w:lvlJc w:val="left"/>
      <w:pPr>
        <w:tabs>
          <w:tab w:val="num" w:pos="3600"/>
        </w:tabs>
        <w:ind w:left="3600" w:hanging="360"/>
      </w:pPr>
      <w:rPr>
        <w:rFonts w:ascii="Arial" w:hAnsi="Arial" w:hint="default"/>
      </w:rPr>
    </w:lvl>
    <w:lvl w:ilvl="5" w:tplc="EC24DC9E" w:tentative="1">
      <w:start w:val="1"/>
      <w:numFmt w:val="bullet"/>
      <w:lvlText w:val="•"/>
      <w:lvlJc w:val="left"/>
      <w:pPr>
        <w:tabs>
          <w:tab w:val="num" w:pos="4320"/>
        </w:tabs>
        <w:ind w:left="4320" w:hanging="360"/>
      </w:pPr>
      <w:rPr>
        <w:rFonts w:ascii="Arial" w:hAnsi="Arial" w:hint="default"/>
      </w:rPr>
    </w:lvl>
    <w:lvl w:ilvl="6" w:tplc="1CAC6BDE" w:tentative="1">
      <w:start w:val="1"/>
      <w:numFmt w:val="bullet"/>
      <w:lvlText w:val="•"/>
      <w:lvlJc w:val="left"/>
      <w:pPr>
        <w:tabs>
          <w:tab w:val="num" w:pos="5040"/>
        </w:tabs>
        <w:ind w:left="5040" w:hanging="360"/>
      </w:pPr>
      <w:rPr>
        <w:rFonts w:ascii="Arial" w:hAnsi="Arial" w:hint="default"/>
      </w:rPr>
    </w:lvl>
    <w:lvl w:ilvl="7" w:tplc="B72CA82C" w:tentative="1">
      <w:start w:val="1"/>
      <w:numFmt w:val="bullet"/>
      <w:lvlText w:val="•"/>
      <w:lvlJc w:val="left"/>
      <w:pPr>
        <w:tabs>
          <w:tab w:val="num" w:pos="5760"/>
        </w:tabs>
        <w:ind w:left="5760" w:hanging="360"/>
      </w:pPr>
      <w:rPr>
        <w:rFonts w:ascii="Arial" w:hAnsi="Arial" w:hint="default"/>
      </w:rPr>
    </w:lvl>
    <w:lvl w:ilvl="8" w:tplc="546C0A7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3663220"/>
    <w:multiLevelType w:val="hybridMultilevel"/>
    <w:tmpl w:val="8968C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4446C4"/>
    <w:multiLevelType w:val="hybridMultilevel"/>
    <w:tmpl w:val="05E8E8D2"/>
    <w:lvl w:ilvl="0" w:tplc="5804139C">
      <w:start w:val="1"/>
      <w:numFmt w:val="bullet"/>
      <w:lvlText w:val="•"/>
      <w:lvlJc w:val="left"/>
      <w:pPr>
        <w:tabs>
          <w:tab w:val="num" w:pos="720"/>
        </w:tabs>
        <w:ind w:left="720" w:hanging="360"/>
      </w:pPr>
      <w:rPr>
        <w:rFonts w:ascii="Arial" w:hAnsi="Arial" w:cs="Times New Roman" w:hint="default"/>
      </w:rPr>
    </w:lvl>
    <w:lvl w:ilvl="1" w:tplc="8D72E040">
      <w:start w:val="2048"/>
      <w:numFmt w:val="bullet"/>
      <w:lvlText w:val="–"/>
      <w:lvlJc w:val="left"/>
      <w:pPr>
        <w:tabs>
          <w:tab w:val="num" w:pos="1440"/>
        </w:tabs>
        <w:ind w:left="1440" w:hanging="360"/>
      </w:pPr>
      <w:rPr>
        <w:rFonts w:ascii="Arial" w:hAnsi="Arial" w:cs="Times New Roman" w:hint="default"/>
      </w:rPr>
    </w:lvl>
    <w:lvl w:ilvl="2" w:tplc="933262FA">
      <w:start w:val="2048"/>
      <w:numFmt w:val="bullet"/>
      <w:lvlText w:val="•"/>
      <w:lvlJc w:val="left"/>
      <w:pPr>
        <w:tabs>
          <w:tab w:val="num" w:pos="2160"/>
        </w:tabs>
        <w:ind w:left="2160" w:hanging="360"/>
      </w:pPr>
      <w:rPr>
        <w:rFonts w:ascii="Arial" w:hAnsi="Arial" w:cs="Times New Roman" w:hint="default"/>
      </w:rPr>
    </w:lvl>
    <w:lvl w:ilvl="3" w:tplc="8444C034">
      <w:start w:val="1"/>
      <w:numFmt w:val="bullet"/>
      <w:lvlText w:val="•"/>
      <w:lvlJc w:val="left"/>
      <w:pPr>
        <w:tabs>
          <w:tab w:val="num" w:pos="2880"/>
        </w:tabs>
        <w:ind w:left="2880" w:hanging="360"/>
      </w:pPr>
      <w:rPr>
        <w:rFonts w:ascii="Arial" w:hAnsi="Arial" w:cs="Times New Roman" w:hint="default"/>
      </w:rPr>
    </w:lvl>
    <w:lvl w:ilvl="4" w:tplc="2F94D188">
      <w:start w:val="1"/>
      <w:numFmt w:val="bullet"/>
      <w:lvlText w:val="•"/>
      <w:lvlJc w:val="left"/>
      <w:pPr>
        <w:tabs>
          <w:tab w:val="num" w:pos="3600"/>
        </w:tabs>
        <w:ind w:left="3600" w:hanging="360"/>
      </w:pPr>
      <w:rPr>
        <w:rFonts w:ascii="Arial" w:hAnsi="Arial" w:cs="Times New Roman" w:hint="default"/>
      </w:rPr>
    </w:lvl>
    <w:lvl w:ilvl="5" w:tplc="F664F9EE">
      <w:start w:val="1"/>
      <w:numFmt w:val="bullet"/>
      <w:lvlText w:val="•"/>
      <w:lvlJc w:val="left"/>
      <w:pPr>
        <w:tabs>
          <w:tab w:val="num" w:pos="4320"/>
        </w:tabs>
        <w:ind w:left="4320" w:hanging="360"/>
      </w:pPr>
      <w:rPr>
        <w:rFonts w:ascii="Arial" w:hAnsi="Arial" w:cs="Times New Roman" w:hint="default"/>
      </w:rPr>
    </w:lvl>
    <w:lvl w:ilvl="6" w:tplc="CAFE124C">
      <w:start w:val="1"/>
      <w:numFmt w:val="bullet"/>
      <w:lvlText w:val="•"/>
      <w:lvlJc w:val="left"/>
      <w:pPr>
        <w:tabs>
          <w:tab w:val="num" w:pos="5040"/>
        </w:tabs>
        <w:ind w:left="5040" w:hanging="360"/>
      </w:pPr>
      <w:rPr>
        <w:rFonts w:ascii="Arial" w:hAnsi="Arial" w:cs="Times New Roman" w:hint="default"/>
      </w:rPr>
    </w:lvl>
    <w:lvl w:ilvl="7" w:tplc="4D80A0F8">
      <w:start w:val="1"/>
      <w:numFmt w:val="bullet"/>
      <w:lvlText w:val="•"/>
      <w:lvlJc w:val="left"/>
      <w:pPr>
        <w:tabs>
          <w:tab w:val="num" w:pos="5760"/>
        </w:tabs>
        <w:ind w:left="5760" w:hanging="360"/>
      </w:pPr>
      <w:rPr>
        <w:rFonts w:ascii="Arial" w:hAnsi="Arial" w:cs="Times New Roman" w:hint="default"/>
      </w:rPr>
    </w:lvl>
    <w:lvl w:ilvl="8" w:tplc="FCBA18E0">
      <w:start w:val="1"/>
      <w:numFmt w:val="bullet"/>
      <w:lvlText w:val="•"/>
      <w:lvlJc w:val="left"/>
      <w:pPr>
        <w:tabs>
          <w:tab w:val="num" w:pos="6480"/>
        </w:tabs>
        <w:ind w:left="6480" w:hanging="360"/>
      </w:pPr>
      <w:rPr>
        <w:rFonts w:ascii="Arial" w:hAnsi="Arial" w:cs="Times New Roman" w:hint="default"/>
      </w:rPr>
    </w:lvl>
  </w:abstractNum>
  <w:abstractNum w:abstractNumId="33" w15:restartNumberingAfterBreak="0">
    <w:nsid w:val="56E26A23"/>
    <w:multiLevelType w:val="hybridMultilevel"/>
    <w:tmpl w:val="1668F320"/>
    <w:lvl w:ilvl="0" w:tplc="C164921A">
      <w:start w:val="1"/>
      <w:numFmt w:val="bullet"/>
      <w:lvlText w:val=""/>
      <w:lvlJc w:val="left"/>
      <w:pPr>
        <w:tabs>
          <w:tab w:val="num" w:pos="360"/>
        </w:tabs>
        <w:ind w:left="360" w:hanging="360"/>
      </w:pPr>
      <w:rPr>
        <w:rFonts w:ascii="Wingdings" w:hAnsi="Wingdings" w:hint="default"/>
      </w:rPr>
    </w:lvl>
    <w:lvl w:ilvl="1" w:tplc="84BEE296">
      <w:numFmt w:val="bullet"/>
      <w:lvlText w:val="•"/>
      <w:lvlJc w:val="left"/>
      <w:pPr>
        <w:tabs>
          <w:tab w:val="num" w:pos="1080"/>
        </w:tabs>
        <w:ind w:left="1080" w:hanging="360"/>
      </w:pPr>
      <w:rPr>
        <w:rFonts w:ascii="Arial" w:hAnsi="Arial" w:cs="Times New Roman" w:hint="default"/>
      </w:rPr>
    </w:lvl>
    <w:lvl w:ilvl="2" w:tplc="4210B5C6">
      <w:start w:val="1"/>
      <w:numFmt w:val="bullet"/>
      <w:lvlText w:val=""/>
      <w:lvlJc w:val="left"/>
      <w:pPr>
        <w:tabs>
          <w:tab w:val="num" w:pos="1800"/>
        </w:tabs>
        <w:ind w:left="1800" w:hanging="360"/>
      </w:pPr>
      <w:rPr>
        <w:rFonts w:ascii="Wingdings" w:hAnsi="Wingdings" w:hint="default"/>
      </w:rPr>
    </w:lvl>
    <w:lvl w:ilvl="3" w:tplc="0AA81264">
      <w:start w:val="1"/>
      <w:numFmt w:val="bullet"/>
      <w:lvlText w:val=""/>
      <w:lvlJc w:val="left"/>
      <w:pPr>
        <w:tabs>
          <w:tab w:val="num" w:pos="2520"/>
        </w:tabs>
        <w:ind w:left="2520" w:hanging="360"/>
      </w:pPr>
      <w:rPr>
        <w:rFonts w:ascii="Wingdings" w:hAnsi="Wingdings" w:hint="default"/>
      </w:rPr>
    </w:lvl>
    <w:lvl w:ilvl="4" w:tplc="FCB08DB0">
      <w:start w:val="1"/>
      <w:numFmt w:val="bullet"/>
      <w:lvlText w:val=""/>
      <w:lvlJc w:val="left"/>
      <w:pPr>
        <w:tabs>
          <w:tab w:val="num" w:pos="3240"/>
        </w:tabs>
        <w:ind w:left="3240" w:hanging="360"/>
      </w:pPr>
      <w:rPr>
        <w:rFonts w:ascii="Wingdings" w:hAnsi="Wingdings" w:hint="default"/>
      </w:rPr>
    </w:lvl>
    <w:lvl w:ilvl="5" w:tplc="08F0544A">
      <w:start w:val="1"/>
      <w:numFmt w:val="bullet"/>
      <w:lvlText w:val=""/>
      <w:lvlJc w:val="left"/>
      <w:pPr>
        <w:tabs>
          <w:tab w:val="num" w:pos="3960"/>
        </w:tabs>
        <w:ind w:left="3960" w:hanging="360"/>
      </w:pPr>
      <w:rPr>
        <w:rFonts w:ascii="Wingdings" w:hAnsi="Wingdings" w:hint="default"/>
      </w:rPr>
    </w:lvl>
    <w:lvl w:ilvl="6" w:tplc="EB641530">
      <w:start w:val="1"/>
      <w:numFmt w:val="bullet"/>
      <w:lvlText w:val=""/>
      <w:lvlJc w:val="left"/>
      <w:pPr>
        <w:tabs>
          <w:tab w:val="num" w:pos="4680"/>
        </w:tabs>
        <w:ind w:left="4680" w:hanging="360"/>
      </w:pPr>
      <w:rPr>
        <w:rFonts w:ascii="Wingdings" w:hAnsi="Wingdings" w:hint="default"/>
      </w:rPr>
    </w:lvl>
    <w:lvl w:ilvl="7" w:tplc="57EA1ED0">
      <w:start w:val="1"/>
      <w:numFmt w:val="bullet"/>
      <w:lvlText w:val=""/>
      <w:lvlJc w:val="left"/>
      <w:pPr>
        <w:tabs>
          <w:tab w:val="num" w:pos="5400"/>
        </w:tabs>
        <w:ind w:left="5400" w:hanging="360"/>
      </w:pPr>
      <w:rPr>
        <w:rFonts w:ascii="Wingdings" w:hAnsi="Wingdings" w:hint="default"/>
      </w:rPr>
    </w:lvl>
    <w:lvl w:ilvl="8" w:tplc="52029B30">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577D2854"/>
    <w:multiLevelType w:val="hybridMultilevel"/>
    <w:tmpl w:val="0BAC1B1E"/>
    <w:lvl w:ilvl="0" w:tplc="E6CA91E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684C25"/>
    <w:multiLevelType w:val="hybridMultilevel"/>
    <w:tmpl w:val="9BB04E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C852023"/>
    <w:multiLevelType w:val="hybridMultilevel"/>
    <w:tmpl w:val="123CF762"/>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112C00DA" w:tentative="1">
      <w:start w:val="1"/>
      <w:numFmt w:val="bullet"/>
      <w:lvlText w:val="•"/>
      <w:lvlJc w:val="left"/>
      <w:pPr>
        <w:tabs>
          <w:tab w:val="num" w:pos="2880"/>
        </w:tabs>
        <w:ind w:left="2880" w:hanging="360"/>
      </w:pPr>
      <w:rPr>
        <w:rFonts w:ascii="Arial" w:hAnsi="Arial" w:hint="default"/>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08A5FDE"/>
    <w:multiLevelType w:val="hybridMultilevel"/>
    <w:tmpl w:val="16621066"/>
    <w:lvl w:ilvl="0" w:tplc="7A7EB430">
      <w:start w:val="1"/>
      <w:numFmt w:val="bullet"/>
      <w:lvlText w:val="•"/>
      <w:lvlJc w:val="left"/>
      <w:pPr>
        <w:tabs>
          <w:tab w:val="num" w:pos="720"/>
        </w:tabs>
        <w:ind w:left="720" w:hanging="360"/>
      </w:pPr>
      <w:rPr>
        <w:rFonts w:ascii="Arial" w:hAnsi="Arial" w:hint="default"/>
      </w:rPr>
    </w:lvl>
    <w:lvl w:ilvl="1" w:tplc="29249A3E">
      <w:numFmt w:val="bullet"/>
      <w:lvlText w:val="-"/>
      <w:lvlJc w:val="left"/>
      <w:pPr>
        <w:tabs>
          <w:tab w:val="num" w:pos="1440"/>
        </w:tabs>
        <w:ind w:left="1440" w:hanging="360"/>
      </w:pPr>
      <w:rPr>
        <w:rFonts w:ascii="Lucida Grande" w:hAnsi="Lucida Grande" w:hint="default"/>
      </w:rPr>
    </w:lvl>
    <w:lvl w:ilvl="2" w:tplc="BF76A518" w:tentative="1">
      <w:start w:val="1"/>
      <w:numFmt w:val="bullet"/>
      <w:lvlText w:val="•"/>
      <w:lvlJc w:val="left"/>
      <w:pPr>
        <w:tabs>
          <w:tab w:val="num" w:pos="2160"/>
        </w:tabs>
        <w:ind w:left="2160" w:hanging="360"/>
      </w:pPr>
      <w:rPr>
        <w:rFonts w:ascii="Arial" w:hAnsi="Arial" w:hint="default"/>
      </w:rPr>
    </w:lvl>
    <w:lvl w:ilvl="3" w:tplc="1E1A31B4" w:tentative="1">
      <w:start w:val="1"/>
      <w:numFmt w:val="bullet"/>
      <w:lvlText w:val="•"/>
      <w:lvlJc w:val="left"/>
      <w:pPr>
        <w:tabs>
          <w:tab w:val="num" w:pos="2880"/>
        </w:tabs>
        <w:ind w:left="2880" w:hanging="360"/>
      </w:pPr>
      <w:rPr>
        <w:rFonts w:ascii="Arial" w:hAnsi="Arial" w:hint="default"/>
      </w:rPr>
    </w:lvl>
    <w:lvl w:ilvl="4" w:tplc="3D2AED50" w:tentative="1">
      <w:start w:val="1"/>
      <w:numFmt w:val="bullet"/>
      <w:lvlText w:val="•"/>
      <w:lvlJc w:val="left"/>
      <w:pPr>
        <w:tabs>
          <w:tab w:val="num" w:pos="3600"/>
        </w:tabs>
        <w:ind w:left="3600" w:hanging="360"/>
      </w:pPr>
      <w:rPr>
        <w:rFonts w:ascii="Arial" w:hAnsi="Arial" w:hint="default"/>
      </w:rPr>
    </w:lvl>
    <w:lvl w:ilvl="5" w:tplc="CDFE2BBA" w:tentative="1">
      <w:start w:val="1"/>
      <w:numFmt w:val="bullet"/>
      <w:lvlText w:val="•"/>
      <w:lvlJc w:val="left"/>
      <w:pPr>
        <w:tabs>
          <w:tab w:val="num" w:pos="4320"/>
        </w:tabs>
        <w:ind w:left="4320" w:hanging="360"/>
      </w:pPr>
      <w:rPr>
        <w:rFonts w:ascii="Arial" w:hAnsi="Arial" w:hint="default"/>
      </w:rPr>
    </w:lvl>
    <w:lvl w:ilvl="6" w:tplc="EB328ABA" w:tentative="1">
      <w:start w:val="1"/>
      <w:numFmt w:val="bullet"/>
      <w:lvlText w:val="•"/>
      <w:lvlJc w:val="left"/>
      <w:pPr>
        <w:tabs>
          <w:tab w:val="num" w:pos="5040"/>
        </w:tabs>
        <w:ind w:left="5040" w:hanging="360"/>
      </w:pPr>
      <w:rPr>
        <w:rFonts w:ascii="Arial" w:hAnsi="Arial" w:hint="default"/>
      </w:rPr>
    </w:lvl>
    <w:lvl w:ilvl="7" w:tplc="774873DC" w:tentative="1">
      <w:start w:val="1"/>
      <w:numFmt w:val="bullet"/>
      <w:lvlText w:val="•"/>
      <w:lvlJc w:val="left"/>
      <w:pPr>
        <w:tabs>
          <w:tab w:val="num" w:pos="5760"/>
        </w:tabs>
        <w:ind w:left="5760" w:hanging="360"/>
      </w:pPr>
      <w:rPr>
        <w:rFonts w:ascii="Arial" w:hAnsi="Arial" w:hint="default"/>
      </w:rPr>
    </w:lvl>
    <w:lvl w:ilvl="8" w:tplc="1E1ED2C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25A5E62"/>
    <w:multiLevelType w:val="hybridMultilevel"/>
    <w:tmpl w:val="59FEE434"/>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39" w15:restartNumberingAfterBreak="0">
    <w:nsid w:val="62EE219E"/>
    <w:multiLevelType w:val="hybridMultilevel"/>
    <w:tmpl w:val="EB76C374"/>
    <w:lvl w:ilvl="0" w:tplc="040B000F">
      <w:start w:val="1"/>
      <w:numFmt w:val="decimal"/>
      <w:lvlText w:val="%1."/>
      <w:lvlJc w:val="left"/>
      <w:pPr>
        <w:ind w:left="928" w:hanging="360"/>
      </w:p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start w:val="1"/>
      <w:numFmt w:val="bullet"/>
      <w:lvlText w:val=""/>
      <w:lvlJc w:val="left"/>
      <w:pPr>
        <w:ind w:left="3088" w:hanging="360"/>
      </w:pPr>
      <w:rPr>
        <w:rFonts w:ascii="Symbol" w:hAnsi="Symbol" w:hint="default"/>
      </w:rPr>
    </w:lvl>
    <w:lvl w:ilvl="4" w:tplc="040B0003">
      <w:start w:val="1"/>
      <w:numFmt w:val="bullet"/>
      <w:lvlText w:val="o"/>
      <w:lvlJc w:val="left"/>
      <w:pPr>
        <w:ind w:left="3808" w:hanging="360"/>
      </w:pPr>
      <w:rPr>
        <w:rFonts w:ascii="Courier New" w:hAnsi="Courier New" w:cs="Courier New" w:hint="default"/>
      </w:rPr>
    </w:lvl>
    <w:lvl w:ilvl="5" w:tplc="040B0005">
      <w:start w:val="1"/>
      <w:numFmt w:val="bullet"/>
      <w:lvlText w:val=""/>
      <w:lvlJc w:val="left"/>
      <w:pPr>
        <w:ind w:left="4528" w:hanging="360"/>
      </w:pPr>
      <w:rPr>
        <w:rFonts w:ascii="Wingdings" w:hAnsi="Wingdings" w:hint="default"/>
      </w:rPr>
    </w:lvl>
    <w:lvl w:ilvl="6" w:tplc="040B0001">
      <w:start w:val="1"/>
      <w:numFmt w:val="bullet"/>
      <w:lvlText w:val=""/>
      <w:lvlJc w:val="left"/>
      <w:pPr>
        <w:ind w:left="5248" w:hanging="360"/>
      </w:pPr>
      <w:rPr>
        <w:rFonts w:ascii="Symbol" w:hAnsi="Symbol" w:hint="default"/>
      </w:rPr>
    </w:lvl>
    <w:lvl w:ilvl="7" w:tplc="040B0003">
      <w:start w:val="1"/>
      <w:numFmt w:val="bullet"/>
      <w:lvlText w:val="o"/>
      <w:lvlJc w:val="left"/>
      <w:pPr>
        <w:ind w:left="5968" w:hanging="360"/>
      </w:pPr>
      <w:rPr>
        <w:rFonts w:ascii="Courier New" w:hAnsi="Courier New" w:cs="Courier New" w:hint="default"/>
      </w:rPr>
    </w:lvl>
    <w:lvl w:ilvl="8" w:tplc="040B0005">
      <w:start w:val="1"/>
      <w:numFmt w:val="bullet"/>
      <w:lvlText w:val=""/>
      <w:lvlJc w:val="left"/>
      <w:pPr>
        <w:ind w:left="6688" w:hanging="360"/>
      </w:pPr>
      <w:rPr>
        <w:rFonts w:ascii="Wingdings" w:hAnsi="Wingdings" w:hint="default"/>
      </w:rPr>
    </w:lvl>
  </w:abstractNum>
  <w:abstractNum w:abstractNumId="40" w15:restartNumberingAfterBreak="0">
    <w:nsid w:val="642706E6"/>
    <w:multiLevelType w:val="hybridMultilevel"/>
    <w:tmpl w:val="A21444E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653E51A2"/>
    <w:multiLevelType w:val="hybridMultilevel"/>
    <w:tmpl w:val="46EAD522"/>
    <w:lvl w:ilvl="0" w:tplc="80DCF69C">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F52AC1"/>
    <w:multiLevelType w:val="hybridMultilevel"/>
    <w:tmpl w:val="D96A7AD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3" w15:restartNumberingAfterBreak="0">
    <w:nsid w:val="7D3126CD"/>
    <w:multiLevelType w:val="hybridMultilevel"/>
    <w:tmpl w:val="95B2737E"/>
    <w:lvl w:ilvl="0" w:tplc="D16E0F1E">
      <w:start w:val="1"/>
      <w:numFmt w:val="bullet"/>
      <w:lvlText w:val="•"/>
      <w:lvlJc w:val="left"/>
      <w:pPr>
        <w:ind w:left="2580" w:hanging="420"/>
      </w:pPr>
      <w:rPr>
        <w:rFonts w:ascii="Times New Roman" w:hAnsi="Times New Roman" w:cs="Times New Roman" w:hint="default"/>
      </w:rPr>
    </w:lvl>
    <w:lvl w:ilvl="1" w:tplc="04090003">
      <w:start w:val="1"/>
      <w:numFmt w:val="bullet"/>
      <w:lvlText w:val=""/>
      <w:lvlJc w:val="left"/>
      <w:pPr>
        <w:ind w:left="3000" w:hanging="420"/>
      </w:pPr>
      <w:rPr>
        <w:rFonts w:ascii="Wingdings" w:hAnsi="Wingdings" w:hint="default"/>
      </w:rPr>
    </w:lvl>
    <w:lvl w:ilvl="2" w:tplc="04090005">
      <w:start w:val="1"/>
      <w:numFmt w:val="bullet"/>
      <w:lvlText w:val=""/>
      <w:lvlJc w:val="left"/>
      <w:pPr>
        <w:ind w:left="3420" w:hanging="420"/>
      </w:pPr>
      <w:rPr>
        <w:rFonts w:ascii="Wingdings" w:hAnsi="Wingdings" w:hint="default"/>
      </w:rPr>
    </w:lvl>
    <w:lvl w:ilvl="3" w:tplc="04090001">
      <w:start w:val="1"/>
      <w:numFmt w:val="bullet"/>
      <w:lvlText w:val=""/>
      <w:lvlJc w:val="left"/>
      <w:pPr>
        <w:ind w:left="3840" w:hanging="420"/>
      </w:pPr>
      <w:rPr>
        <w:rFonts w:ascii="Wingdings" w:hAnsi="Wingdings" w:hint="default"/>
      </w:rPr>
    </w:lvl>
    <w:lvl w:ilvl="4" w:tplc="04090003">
      <w:start w:val="1"/>
      <w:numFmt w:val="bullet"/>
      <w:lvlText w:val=""/>
      <w:lvlJc w:val="left"/>
      <w:pPr>
        <w:ind w:left="4260" w:hanging="420"/>
      </w:pPr>
      <w:rPr>
        <w:rFonts w:ascii="Wingdings" w:hAnsi="Wingdings" w:hint="default"/>
      </w:rPr>
    </w:lvl>
    <w:lvl w:ilvl="5" w:tplc="04090005">
      <w:start w:val="1"/>
      <w:numFmt w:val="bullet"/>
      <w:lvlText w:val=""/>
      <w:lvlJc w:val="left"/>
      <w:pPr>
        <w:ind w:left="4680" w:hanging="420"/>
      </w:pPr>
      <w:rPr>
        <w:rFonts w:ascii="Wingdings" w:hAnsi="Wingdings" w:hint="default"/>
      </w:rPr>
    </w:lvl>
    <w:lvl w:ilvl="6" w:tplc="04090001">
      <w:start w:val="1"/>
      <w:numFmt w:val="bullet"/>
      <w:lvlText w:val=""/>
      <w:lvlJc w:val="left"/>
      <w:pPr>
        <w:ind w:left="5100" w:hanging="420"/>
      </w:pPr>
      <w:rPr>
        <w:rFonts w:ascii="Wingdings" w:hAnsi="Wingdings" w:hint="default"/>
      </w:rPr>
    </w:lvl>
    <w:lvl w:ilvl="7" w:tplc="04090003">
      <w:start w:val="1"/>
      <w:numFmt w:val="bullet"/>
      <w:lvlText w:val=""/>
      <w:lvlJc w:val="left"/>
      <w:pPr>
        <w:ind w:left="5520" w:hanging="420"/>
      </w:pPr>
      <w:rPr>
        <w:rFonts w:ascii="Wingdings" w:hAnsi="Wingdings" w:hint="default"/>
      </w:rPr>
    </w:lvl>
    <w:lvl w:ilvl="8" w:tplc="04090005">
      <w:start w:val="1"/>
      <w:numFmt w:val="bullet"/>
      <w:lvlText w:val=""/>
      <w:lvlJc w:val="left"/>
      <w:pPr>
        <w:ind w:left="5940" w:hanging="420"/>
      </w:pPr>
      <w:rPr>
        <w:rFonts w:ascii="Wingdings" w:hAnsi="Wingdings" w:hint="default"/>
      </w:rPr>
    </w:lvl>
  </w:abstractNum>
  <w:abstractNum w:abstractNumId="44" w15:restartNumberingAfterBreak="0">
    <w:nsid w:val="7FD5575F"/>
    <w:multiLevelType w:val="hybridMultilevel"/>
    <w:tmpl w:val="2514CC3A"/>
    <w:lvl w:ilvl="0" w:tplc="50ECCF36">
      <w:start w:val="1"/>
      <w:numFmt w:val="bullet"/>
      <w:lvlText w:val="•"/>
      <w:lvlJc w:val="left"/>
      <w:pPr>
        <w:tabs>
          <w:tab w:val="num" w:pos="720"/>
        </w:tabs>
        <w:ind w:left="720" w:hanging="360"/>
      </w:pPr>
      <w:rPr>
        <w:rFonts w:ascii="Arial" w:hAnsi="Arial" w:hint="default"/>
      </w:rPr>
    </w:lvl>
    <w:lvl w:ilvl="1" w:tplc="F6363B14">
      <w:start w:val="1"/>
      <w:numFmt w:val="bullet"/>
      <w:lvlText w:val="•"/>
      <w:lvlJc w:val="left"/>
      <w:pPr>
        <w:tabs>
          <w:tab w:val="num" w:pos="1440"/>
        </w:tabs>
        <w:ind w:left="1440" w:hanging="360"/>
      </w:pPr>
      <w:rPr>
        <w:rFonts w:ascii="Arial" w:hAnsi="Arial" w:hint="default"/>
      </w:rPr>
    </w:lvl>
    <w:lvl w:ilvl="2" w:tplc="E8F815F0">
      <w:start w:val="1"/>
      <w:numFmt w:val="bullet"/>
      <w:lvlText w:val="•"/>
      <w:lvlJc w:val="left"/>
      <w:pPr>
        <w:tabs>
          <w:tab w:val="num" w:pos="2160"/>
        </w:tabs>
        <w:ind w:left="2160" w:hanging="360"/>
      </w:pPr>
      <w:rPr>
        <w:rFonts w:ascii="Arial" w:hAnsi="Arial" w:hint="default"/>
      </w:rPr>
    </w:lvl>
    <w:lvl w:ilvl="3" w:tplc="02666046">
      <w:numFmt w:val="bullet"/>
      <w:lvlText w:val="•"/>
      <w:lvlJc w:val="left"/>
      <w:pPr>
        <w:tabs>
          <w:tab w:val="num" w:pos="2880"/>
        </w:tabs>
        <w:ind w:left="2880" w:hanging="360"/>
      </w:pPr>
      <w:rPr>
        <w:rFonts w:ascii="Arial" w:hAnsi="Arial" w:hint="default"/>
      </w:rPr>
    </w:lvl>
    <w:lvl w:ilvl="4" w:tplc="FAA2DDA2" w:tentative="1">
      <w:start w:val="1"/>
      <w:numFmt w:val="bullet"/>
      <w:lvlText w:val="•"/>
      <w:lvlJc w:val="left"/>
      <w:pPr>
        <w:tabs>
          <w:tab w:val="num" w:pos="3600"/>
        </w:tabs>
        <w:ind w:left="3600" w:hanging="360"/>
      </w:pPr>
      <w:rPr>
        <w:rFonts w:ascii="Arial" w:hAnsi="Arial" w:hint="default"/>
      </w:rPr>
    </w:lvl>
    <w:lvl w:ilvl="5" w:tplc="24ECBFBE" w:tentative="1">
      <w:start w:val="1"/>
      <w:numFmt w:val="bullet"/>
      <w:lvlText w:val="•"/>
      <w:lvlJc w:val="left"/>
      <w:pPr>
        <w:tabs>
          <w:tab w:val="num" w:pos="4320"/>
        </w:tabs>
        <w:ind w:left="4320" w:hanging="360"/>
      </w:pPr>
      <w:rPr>
        <w:rFonts w:ascii="Arial" w:hAnsi="Arial" w:hint="default"/>
      </w:rPr>
    </w:lvl>
    <w:lvl w:ilvl="6" w:tplc="55589800" w:tentative="1">
      <w:start w:val="1"/>
      <w:numFmt w:val="bullet"/>
      <w:lvlText w:val="•"/>
      <w:lvlJc w:val="left"/>
      <w:pPr>
        <w:tabs>
          <w:tab w:val="num" w:pos="5040"/>
        </w:tabs>
        <w:ind w:left="5040" w:hanging="360"/>
      </w:pPr>
      <w:rPr>
        <w:rFonts w:ascii="Arial" w:hAnsi="Arial" w:hint="default"/>
      </w:rPr>
    </w:lvl>
    <w:lvl w:ilvl="7" w:tplc="DD9A1AC2" w:tentative="1">
      <w:start w:val="1"/>
      <w:numFmt w:val="bullet"/>
      <w:lvlText w:val="•"/>
      <w:lvlJc w:val="left"/>
      <w:pPr>
        <w:tabs>
          <w:tab w:val="num" w:pos="5760"/>
        </w:tabs>
        <w:ind w:left="5760" w:hanging="360"/>
      </w:pPr>
      <w:rPr>
        <w:rFonts w:ascii="Arial" w:hAnsi="Arial" w:hint="default"/>
      </w:rPr>
    </w:lvl>
    <w:lvl w:ilvl="8" w:tplc="0994D4B2"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12"/>
  </w:num>
  <w:num w:numId="3">
    <w:abstractNumId w:val="8"/>
  </w:num>
  <w:num w:numId="4">
    <w:abstractNumId w:val="42"/>
  </w:num>
  <w:num w:numId="5">
    <w:abstractNumId w:val="38"/>
  </w:num>
  <w:num w:numId="6">
    <w:abstractNumId w:val="21"/>
  </w:num>
  <w:num w:numId="7">
    <w:abstractNumId w:val="15"/>
  </w:num>
  <w:num w:numId="8">
    <w:abstractNumId w:val="37"/>
  </w:num>
  <w:num w:numId="9">
    <w:abstractNumId w:val="25"/>
  </w:num>
  <w:num w:numId="10">
    <w:abstractNumId w:val="14"/>
  </w:num>
  <w:num w:numId="11">
    <w:abstractNumId w:val="20"/>
  </w:num>
  <w:num w:numId="12">
    <w:abstractNumId w:val="30"/>
  </w:num>
  <w:num w:numId="13">
    <w:abstractNumId w:val="31"/>
  </w:num>
  <w:num w:numId="14">
    <w:abstractNumId w:val="24"/>
  </w:num>
  <w:num w:numId="15">
    <w:abstractNumId w:val="22"/>
  </w:num>
  <w:num w:numId="16">
    <w:abstractNumId w:val="41"/>
  </w:num>
  <w:num w:numId="17">
    <w:abstractNumId w:val="7"/>
  </w:num>
  <w:num w:numId="18">
    <w:abstractNumId w:val="34"/>
  </w:num>
  <w:num w:numId="19">
    <w:abstractNumId w:val="11"/>
  </w:num>
  <w:num w:numId="20">
    <w:abstractNumId w:val="28"/>
  </w:num>
  <w:num w:numId="21">
    <w:abstractNumId w:val="35"/>
  </w:num>
  <w:num w:numId="22">
    <w:abstractNumId w:val="6"/>
  </w:num>
  <w:num w:numId="23">
    <w:abstractNumId w:val="40"/>
  </w:num>
  <w:num w:numId="24">
    <w:abstractNumId w:val="3"/>
  </w:num>
  <w:num w:numId="25">
    <w:abstractNumId w:val="36"/>
  </w:num>
  <w:num w:numId="26">
    <w:abstractNumId w:val="4"/>
  </w:num>
  <w:num w:numId="27">
    <w:abstractNumId w:val="33"/>
  </w:num>
  <w:num w:numId="28">
    <w:abstractNumId w:val="23"/>
  </w:num>
  <w:num w:numId="29">
    <w:abstractNumId w:val="1"/>
  </w:num>
  <w:num w:numId="30">
    <w:abstractNumId w:val="9"/>
  </w:num>
  <w:num w:numId="31">
    <w:abstractNumId w:val="32"/>
  </w:num>
  <w:num w:numId="32">
    <w:abstractNumId w:val="16"/>
  </w:num>
  <w:num w:numId="33">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3"/>
  </w:num>
  <w:num w:numId="35">
    <w:abstractNumId w:val="5"/>
  </w:num>
  <w:num w:numId="36">
    <w:abstractNumId w:val="18"/>
    <w:lvlOverride w:ilvl="0">
      <w:startOverride w:val="1"/>
    </w:lvlOverride>
    <w:lvlOverride w:ilvl="1"/>
    <w:lvlOverride w:ilvl="2"/>
    <w:lvlOverride w:ilvl="3"/>
    <w:lvlOverride w:ilvl="4"/>
    <w:lvlOverride w:ilvl="5"/>
    <w:lvlOverride w:ilvl="6"/>
    <w:lvlOverride w:ilvl="7"/>
    <w:lvlOverride w:ilvl="8"/>
  </w:num>
  <w:num w:numId="37">
    <w:abstractNumId w:val="2"/>
    <w:lvlOverride w:ilvl="0">
      <w:startOverride w:val="1"/>
    </w:lvlOverride>
    <w:lvlOverride w:ilvl="1"/>
    <w:lvlOverride w:ilvl="2"/>
    <w:lvlOverride w:ilvl="3"/>
    <w:lvlOverride w:ilvl="4"/>
    <w:lvlOverride w:ilvl="5"/>
    <w:lvlOverride w:ilvl="6"/>
    <w:lvlOverride w:ilvl="7"/>
    <w:lvlOverride w:ilvl="8"/>
  </w:num>
  <w:num w:numId="38">
    <w:abstractNumId w:val="39"/>
    <w:lvlOverride w:ilvl="0">
      <w:startOverride w:val="1"/>
    </w:lvlOverride>
    <w:lvlOverride w:ilvl="1"/>
    <w:lvlOverride w:ilvl="2"/>
    <w:lvlOverride w:ilvl="3"/>
    <w:lvlOverride w:ilvl="4"/>
    <w:lvlOverride w:ilvl="5"/>
    <w:lvlOverride w:ilvl="6"/>
    <w:lvlOverride w:ilvl="7"/>
    <w:lvlOverride w:ilvl="8"/>
  </w:num>
  <w:num w:numId="39">
    <w:abstractNumId w:val="0"/>
  </w:num>
  <w:num w:numId="40">
    <w:abstractNumId w:val="26"/>
  </w:num>
  <w:num w:numId="41">
    <w:abstractNumId w:val="13"/>
  </w:num>
  <w:num w:numId="42">
    <w:abstractNumId w:val="41"/>
  </w:num>
  <w:num w:numId="43">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
  </w:num>
  <w:num w:numId="4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
  </w:num>
  <w:num w:numId="47">
    <w:abstractNumId w:val="27"/>
  </w:num>
  <w:num w:numId="48">
    <w:abstractNumId w:val="29"/>
  </w:num>
  <w:num w:numId="49">
    <w:abstractNumId w:val="44"/>
  </w:num>
  <w:num w:numId="50">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30048"/>
    <w:rsid w:val="0003072D"/>
    <w:rsid w:val="000314CD"/>
    <w:rsid w:val="00033544"/>
    <w:rsid w:val="0003479E"/>
    <w:rsid w:val="00035691"/>
    <w:rsid w:val="0003767C"/>
    <w:rsid w:val="00040F4F"/>
    <w:rsid w:val="0004132D"/>
    <w:rsid w:val="00041C9D"/>
    <w:rsid w:val="00044CFA"/>
    <w:rsid w:val="000459C7"/>
    <w:rsid w:val="00046630"/>
    <w:rsid w:val="00046C80"/>
    <w:rsid w:val="00050112"/>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7CA"/>
    <w:rsid w:val="000717FB"/>
    <w:rsid w:val="000719BF"/>
    <w:rsid w:val="0007208A"/>
    <w:rsid w:val="00072BBA"/>
    <w:rsid w:val="00072FF5"/>
    <w:rsid w:val="00075FDA"/>
    <w:rsid w:val="00076386"/>
    <w:rsid w:val="00076D82"/>
    <w:rsid w:val="00081EC2"/>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6DB"/>
    <w:rsid w:val="000B1C5E"/>
    <w:rsid w:val="000B2282"/>
    <w:rsid w:val="000B2A11"/>
    <w:rsid w:val="000B2A5B"/>
    <w:rsid w:val="000B3B91"/>
    <w:rsid w:val="000B4B1B"/>
    <w:rsid w:val="000B50C3"/>
    <w:rsid w:val="000B5AC9"/>
    <w:rsid w:val="000B5F0A"/>
    <w:rsid w:val="000C1D59"/>
    <w:rsid w:val="000C2B09"/>
    <w:rsid w:val="000C30CF"/>
    <w:rsid w:val="000C501D"/>
    <w:rsid w:val="000C5CBA"/>
    <w:rsid w:val="000C74BA"/>
    <w:rsid w:val="000C7531"/>
    <w:rsid w:val="000C7C3F"/>
    <w:rsid w:val="000D0BD6"/>
    <w:rsid w:val="000D0C61"/>
    <w:rsid w:val="000D27AD"/>
    <w:rsid w:val="000D29D1"/>
    <w:rsid w:val="000D2B0A"/>
    <w:rsid w:val="000D3286"/>
    <w:rsid w:val="000D344D"/>
    <w:rsid w:val="000D40E7"/>
    <w:rsid w:val="000D584F"/>
    <w:rsid w:val="000D76BC"/>
    <w:rsid w:val="000E071E"/>
    <w:rsid w:val="000E0DEE"/>
    <w:rsid w:val="000E181D"/>
    <w:rsid w:val="000E27AA"/>
    <w:rsid w:val="000E337A"/>
    <w:rsid w:val="000E34FD"/>
    <w:rsid w:val="000E4350"/>
    <w:rsid w:val="000E4376"/>
    <w:rsid w:val="000E4408"/>
    <w:rsid w:val="000E5716"/>
    <w:rsid w:val="000E7A79"/>
    <w:rsid w:val="000F15B2"/>
    <w:rsid w:val="000F19DE"/>
    <w:rsid w:val="000F2E1F"/>
    <w:rsid w:val="000F37B0"/>
    <w:rsid w:val="000F4595"/>
    <w:rsid w:val="000F4CB2"/>
    <w:rsid w:val="000F4E44"/>
    <w:rsid w:val="000F4E90"/>
    <w:rsid w:val="000F568D"/>
    <w:rsid w:val="000F68D0"/>
    <w:rsid w:val="000F6B15"/>
    <w:rsid w:val="00101C4F"/>
    <w:rsid w:val="00102C9F"/>
    <w:rsid w:val="001068D2"/>
    <w:rsid w:val="001069F2"/>
    <w:rsid w:val="001103BD"/>
    <w:rsid w:val="00111208"/>
    <w:rsid w:val="001115E4"/>
    <w:rsid w:val="00111808"/>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224"/>
    <w:rsid w:val="0015130F"/>
    <w:rsid w:val="00155BFD"/>
    <w:rsid w:val="00156ABA"/>
    <w:rsid w:val="00157390"/>
    <w:rsid w:val="00160998"/>
    <w:rsid w:val="00160CD6"/>
    <w:rsid w:val="00160F5F"/>
    <w:rsid w:val="00162308"/>
    <w:rsid w:val="0016316A"/>
    <w:rsid w:val="0016381F"/>
    <w:rsid w:val="00163D1D"/>
    <w:rsid w:val="00164171"/>
    <w:rsid w:val="00164E58"/>
    <w:rsid w:val="00165033"/>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2FE6"/>
    <w:rsid w:val="0019360B"/>
    <w:rsid w:val="00193986"/>
    <w:rsid w:val="00193B08"/>
    <w:rsid w:val="00194570"/>
    <w:rsid w:val="00196BF4"/>
    <w:rsid w:val="001972DA"/>
    <w:rsid w:val="001976AA"/>
    <w:rsid w:val="001A02F6"/>
    <w:rsid w:val="001A15C6"/>
    <w:rsid w:val="001A5510"/>
    <w:rsid w:val="001A5E19"/>
    <w:rsid w:val="001A63D8"/>
    <w:rsid w:val="001B01FA"/>
    <w:rsid w:val="001B0832"/>
    <w:rsid w:val="001B18A7"/>
    <w:rsid w:val="001B2762"/>
    <w:rsid w:val="001B36FC"/>
    <w:rsid w:val="001B41ED"/>
    <w:rsid w:val="001B4607"/>
    <w:rsid w:val="001B7E0C"/>
    <w:rsid w:val="001C0674"/>
    <w:rsid w:val="001C1405"/>
    <w:rsid w:val="001C226F"/>
    <w:rsid w:val="001C5296"/>
    <w:rsid w:val="001C66AC"/>
    <w:rsid w:val="001C6754"/>
    <w:rsid w:val="001C77F0"/>
    <w:rsid w:val="001D30C9"/>
    <w:rsid w:val="001D445B"/>
    <w:rsid w:val="001D46A0"/>
    <w:rsid w:val="001D50C2"/>
    <w:rsid w:val="001D7CA4"/>
    <w:rsid w:val="001D7E58"/>
    <w:rsid w:val="001E30A0"/>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3BD"/>
    <w:rsid w:val="001F34DA"/>
    <w:rsid w:val="001F4DAC"/>
    <w:rsid w:val="001F5019"/>
    <w:rsid w:val="001F51C5"/>
    <w:rsid w:val="001F65B0"/>
    <w:rsid w:val="001F67AA"/>
    <w:rsid w:val="001F6AFD"/>
    <w:rsid w:val="001F7599"/>
    <w:rsid w:val="00204A2A"/>
    <w:rsid w:val="00204B22"/>
    <w:rsid w:val="00204B3A"/>
    <w:rsid w:val="0020535A"/>
    <w:rsid w:val="002055CB"/>
    <w:rsid w:val="002059EF"/>
    <w:rsid w:val="00206955"/>
    <w:rsid w:val="00210309"/>
    <w:rsid w:val="00211519"/>
    <w:rsid w:val="0021224B"/>
    <w:rsid w:val="00212FB8"/>
    <w:rsid w:val="00213709"/>
    <w:rsid w:val="002149AF"/>
    <w:rsid w:val="00214A86"/>
    <w:rsid w:val="00215AAA"/>
    <w:rsid w:val="0021683C"/>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DD9"/>
    <w:rsid w:val="0023308F"/>
    <w:rsid w:val="00233403"/>
    <w:rsid w:val="00233440"/>
    <w:rsid w:val="00233D0E"/>
    <w:rsid w:val="00236450"/>
    <w:rsid w:val="0023765A"/>
    <w:rsid w:val="00237921"/>
    <w:rsid w:val="00240342"/>
    <w:rsid w:val="00241311"/>
    <w:rsid w:val="002418E8"/>
    <w:rsid w:val="00242E22"/>
    <w:rsid w:val="0024336B"/>
    <w:rsid w:val="00244194"/>
    <w:rsid w:val="0024424F"/>
    <w:rsid w:val="00244D28"/>
    <w:rsid w:val="00245720"/>
    <w:rsid w:val="00245A6F"/>
    <w:rsid w:val="00245FD5"/>
    <w:rsid w:val="002477DF"/>
    <w:rsid w:val="00251AD6"/>
    <w:rsid w:val="00252C17"/>
    <w:rsid w:val="0025307F"/>
    <w:rsid w:val="002551BD"/>
    <w:rsid w:val="002568D0"/>
    <w:rsid w:val="00260AEE"/>
    <w:rsid w:val="00262661"/>
    <w:rsid w:val="00262D9D"/>
    <w:rsid w:val="002632DF"/>
    <w:rsid w:val="00263946"/>
    <w:rsid w:val="002640BA"/>
    <w:rsid w:val="00264CF2"/>
    <w:rsid w:val="00267587"/>
    <w:rsid w:val="002675C8"/>
    <w:rsid w:val="00267760"/>
    <w:rsid w:val="00271589"/>
    <w:rsid w:val="00273177"/>
    <w:rsid w:val="0027455B"/>
    <w:rsid w:val="00275074"/>
    <w:rsid w:val="002763E9"/>
    <w:rsid w:val="00276736"/>
    <w:rsid w:val="00276F4E"/>
    <w:rsid w:val="0027773D"/>
    <w:rsid w:val="002824C2"/>
    <w:rsid w:val="00284E32"/>
    <w:rsid w:val="002851EB"/>
    <w:rsid w:val="00285510"/>
    <w:rsid w:val="00285DE2"/>
    <w:rsid w:val="0028616D"/>
    <w:rsid w:val="00286965"/>
    <w:rsid w:val="0029136E"/>
    <w:rsid w:val="00292399"/>
    <w:rsid w:val="00294445"/>
    <w:rsid w:val="00294B4D"/>
    <w:rsid w:val="002960D5"/>
    <w:rsid w:val="002A1062"/>
    <w:rsid w:val="002A2012"/>
    <w:rsid w:val="002A2413"/>
    <w:rsid w:val="002A2F5E"/>
    <w:rsid w:val="002A352A"/>
    <w:rsid w:val="002A607D"/>
    <w:rsid w:val="002B132E"/>
    <w:rsid w:val="002B2813"/>
    <w:rsid w:val="002B2D29"/>
    <w:rsid w:val="002B3BBD"/>
    <w:rsid w:val="002C0C4B"/>
    <w:rsid w:val="002C1EEA"/>
    <w:rsid w:val="002C47AD"/>
    <w:rsid w:val="002C5510"/>
    <w:rsid w:val="002C6034"/>
    <w:rsid w:val="002C635B"/>
    <w:rsid w:val="002C770F"/>
    <w:rsid w:val="002C7CFF"/>
    <w:rsid w:val="002D0BC6"/>
    <w:rsid w:val="002D17C5"/>
    <w:rsid w:val="002D365F"/>
    <w:rsid w:val="002D51DF"/>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62E6"/>
    <w:rsid w:val="003068B6"/>
    <w:rsid w:val="003071F6"/>
    <w:rsid w:val="00307FE0"/>
    <w:rsid w:val="003107EB"/>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FEE"/>
    <w:rsid w:val="00356275"/>
    <w:rsid w:val="00356C0B"/>
    <w:rsid w:val="00357B9C"/>
    <w:rsid w:val="00361412"/>
    <w:rsid w:val="003615CA"/>
    <w:rsid w:val="00363B2C"/>
    <w:rsid w:val="003642A6"/>
    <w:rsid w:val="00364763"/>
    <w:rsid w:val="00365C3D"/>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771D"/>
    <w:rsid w:val="00392491"/>
    <w:rsid w:val="003935B0"/>
    <w:rsid w:val="00393E44"/>
    <w:rsid w:val="00394301"/>
    <w:rsid w:val="0039747B"/>
    <w:rsid w:val="00397AB6"/>
    <w:rsid w:val="00397ACA"/>
    <w:rsid w:val="003A10C3"/>
    <w:rsid w:val="003A4A40"/>
    <w:rsid w:val="003A4C7C"/>
    <w:rsid w:val="003A5611"/>
    <w:rsid w:val="003A5844"/>
    <w:rsid w:val="003A597F"/>
    <w:rsid w:val="003A71A8"/>
    <w:rsid w:val="003B00CA"/>
    <w:rsid w:val="003B030B"/>
    <w:rsid w:val="003B0432"/>
    <w:rsid w:val="003B0821"/>
    <w:rsid w:val="003B0BE9"/>
    <w:rsid w:val="003B2E9B"/>
    <w:rsid w:val="003B2F8D"/>
    <w:rsid w:val="003B3C64"/>
    <w:rsid w:val="003B4FAA"/>
    <w:rsid w:val="003B547A"/>
    <w:rsid w:val="003B6EC0"/>
    <w:rsid w:val="003B75B9"/>
    <w:rsid w:val="003C087B"/>
    <w:rsid w:val="003C0DA2"/>
    <w:rsid w:val="003C1A18"/>
    <w:rsid w:val="003C5C41"/>
    <w:rsid w:val="003C6877"/>
    <w:rsid w:val="003C7062"/>
    <w:rsid w:val="003C7461"/>
    <w:rsid w:val="003D0788"/>
    <w:rsid w:val="003D132A"/>
    <w:rsid w:val="003D1517"/>
    <w:rsid w:val="003D1D50"/>
    <w:rsid w:val="003D232D"/>
    <w:rsid w:val="003D2938"/>
    <w:rsid w:val="003D3FBA"/>
    <w:rsid w:val="003D402B"/>
    <w:rsid w:val="003D54B0"/>
    <w:rsid w:val="003D764F"/>
    <w:rsid w:val="003E0042"/>
    <w:rsid w:val="003E0667"/>
    <w:rsid w:val="003E0BCE"/>
    <w:rsid w:val="003E13E0"/>
    <w:rsid w:val="003E1660"/>
    <w:rsid w:val="003E1CD1"/>
    <w:rsid w:val="003E2A2D"/>
    <w:rsid w:val="003E50B9"/>
    <w:rsid w:val="003E64A9"/>
    <w:rsid w:val="003E7905"/>
    <w:rsid w:val="003F0336"/>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21A27"/>
    <w:rsid w:val="00421D0A"/>
    <w:rsid w:val="004241C5"/>
    <w:rsid w:val="00424FA7"/>
    <w:rsid w:val="00425D2C"/>
    <w:rsid w:val="00426A87"/>
    <w:rsid w:val="004309D8"/>
    <w:rsid w:val="004313D1"/>
    <w:rsid w:val="00432110"/>
    <w:rsid w:val="004328EE"/>
    <w:rsid w:val="00433EBE"/>
    <w:rsid w:val="00434406"/>
    <w:rsid w:val="00440FED"/>
    <w:rsid w:val="00441B92"/>
    <w:rsid w:val="00442DE1"/>
    <w:rsid w:val="00443A9F"/>
    <w:rsid w:val="0044474B"/>
    <w:rsid w:val="00445FF7"/>
    <w:rsid w:val="004508A8"/>
    <w:rsid w:val="00453341"/>
    <w:rsid w:val="004545C6"/>
    <w:rsid w:val="00454DCA"/>
    <w:rsid w:val="00456544"/>
    <w:rsid w:val="00456649"/>
    <w:rsid w:val="004567B7"/>
    <w:rsid w:val="00456856"/>
    <w:rsid w:val="00461210"/>
    <w:rsid w:val="00461700"/>
    <w:rsid w:val="00461AAC"/>
    <w:rsid w:val="00462490"/>
    <w:rsid w:val="00462AC9"/>
    <w:rsid w:val="00465299"/>
    <w:rsid w:val="00466A0F"/>
    <w:rsid w:val="0046795B"/>
    <w:rsid w:val="004708C0"/>
    <w:rsid w:val="0047115F"/>
    <w:rsid w:val="004715CB"/>
    <w:rsid w:val="00471863"/>
    <w:rsid w:val="00473A14"/>
    <w:rsid w:val="004745A9"/>
    <w:rsid w:val="00474871"/>
    <w:rsid w:val="00474CA8"/>
    <w:rsid w:val="00474E43"/>
    <w:rsid w:val="00476A55"/>
    <w:rsid w:val="0048076D"/>
    <w:rsid w:val="00481624"/>
    <w:rsid w:val="00481765"/>
    <w:rsid w:val="00481D90"/>
    <w:rsid w:val="00482700"/>
    <w:rsid w:val="00482CD4"/>
    <w:rsid w:val="00483261"/>
    <w:rsid w:val="0048328A"/>
    <w:rsid w:val="00485B23"/>
    <w:rsid w:val="004874E4"/>
    <w:rsid w:val="0049070D"/>
    <w:rsid w:val="00491BE4"/>
    <w:rsid w:val="00491DB2"/>
    <w:rsid w:val="00492877"/>
    <w:rsid w:val="00495BA6"/>
    <w:rsid w:val="00496DC2"/>
    <w:rsid w:val="00496E75"/>
    <w:rsid w:val="004A014C"/>
    <w:rsid w:val="004A0AA8"/>
    <w:rsid w:val="004A1FE4"/>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6381"/>
    <w:rsid w:val="004D7DA8"/>
    <w:rsid w:val="004E10CD"/>
    <w:rsid w:val="004E2892"/>
    <w:rsid w:val="004E362B"/>
    <w:rsid w:val="004E3681"/>
    <w:rsid w:val="004E3D74"/>
    <w:rsid w:val="004E784B"/>
    <w:rsid w:val="004F0224"/>
    <w:rsid w:val="004F0DB4"/>
    <w:rsid w:val="004F0E04"/>
    <w:rsid w:val="004F1CD3"/>
    <w:rsid w:val="004F1EBC"/>
    <w:rsid w:val="004F20E8"/>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91D"/>
    <w:rsid w:val="00520D6D"/>
    <w:rsid w:val="00521425"/>
    <w:rsid w:val="00523E75"/>
    <w:rsid w:val="005243E0"/>
    <w:rsid w:val="005256F3"/>
    <w:rsid w:val="005265A3"/>
    <w:rsid w:val="00526783"/>
    <w:rsid w:val="0052773A"/>
    <w:rsid w:val="00527FB1"/>
    <w:rsid w:val="0053107E"/>
    <w:rsid w:val="0053162F"/>
    <w:rsid w:val="00531777"/>
    <w:rsid w:val="0053281C"/>
    <w:rsid w:val="005340C9"/>
    <w:rsid w:val="00536698"/>
    <w:rsid w:val="005375FE"/>
    <w:rsid w:val="0054195A"/>
    <w:rsid w:val="005420DE"/>
    <w:rsid w:val="00542249"/>
    <w:rsid w:val="005431F5"/>
    <w:rsid w:val="00543707"/>
    <w:rsid w:val="005439D2"/>
    <w:rsid w:val="00543EBB"/>
    <w:rsid w:val="00544213"/>
    <w:rsid w:val="005453F3"/>
    <w:rsid w:val="00545549"/>
    <w:rsid w:val="005469F5"/>
    <w:rsid w:val="00546F36"/>
    <w:rsid w:val="005518ED"/>
    <w:rsid w:val="00552093"/>
    <w:rsid w:val="00554C49"/>
    <w:rsid w:val="00554E06"/>
    <w:rsid w:val="00554E4B"/>
    <w:rsid w:val="0055519C"/>
    <w:rsid w:val="00555F67"/>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2CDA"/>
    <w:rsid w:val="0059331A"/>
    <w:rsid w:val="00593A72"/>
    <w:rsid w:val="00595C2C"/>
    <w:rsid w:val="00596BBA"/>
    <w:rsid w:val="00597386"/>
    <w:rsid w:val="005975C4"/>
    <w:rsid w:val="00597ED8"/>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5870"/>
    <w:rsid w:val="005D059A"/>
    <w:rsid w:val="005D07C5"/>
    <w:rsid w:val="005D21B7"/>
    <w:rsid w:val="005D4302"/>
    <w:rsid w:val="005D5A20"/>
    <w:rsid w:val="005D786C"/>
    <w:rsid w:val="005E00E5"/>
    <w:rsid w:val="005E049F"/>
    <w:rsid w:val="005E0BB6"/>
    <w:rsid w:val="005E3073"/>
    <w:rsid w:val="005E316A"/>
    <w:rsid w:val="005E7088"/>
    <w:rsid w:val="005E7E1B"/>
    <w:rsid w:val="005F0108"/>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6F4"/>
    <w:rsid w:val="00604367"/>
    <w:rsid w:val="006044BE"/>
    <w:rsid w:val="0060475F"/>
    <w:rsid w:val="006047DF"/>
    <w:rsid w:val="00604804"/>
    <w:rsid w:val="00604DE1"/>
    <w:rsid w:val="006060C2"/>
    <w:rsid w:val="00606A26"/>
    <w:rsid w:val="00607D81"/>
    <w:rsid w:val="00610747"/>
    <w:rsid w:val="00610E03"/>
    <w:rsid w:val="0061176E"/>
    <w:rsid w:val="00614CD1"/>
    <w:rsid w:val="006151F2"/>
    <w:rsid w:val="0061567B"/>
    <w:rsid w:val="00615AC8"/>
    <w:rsid w:val="0062152A"/>
    <w:rsid w:val="00623583"/>
    <w:rsid w:val="0062462F"/>
    <w:rsid w:val="00624BA1"/>
    <w:rsid w:val="0062661B"/>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65D"/>
    <w:rsid w:val="00642E8C"/>
    <w:rsid w:val="006433BD"/>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7096D"/>
    <w:rsid w:val="00670AF4"/>
    <w:rsid w:val="006719E0"/>
    <w:rsid w:val="0067269D"/>
    <w:rsid w:val="00672988"/>
    <w:rsid w:val="00672C64"/>
    <w:rsid w:val="00674E6A"/>
    <w:rsid w:val="00675CF4"/>
    <w:rsid w:val="00676A64"/>
    <w:rsid w:val="00677925"/>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6D63"/>
    <w:rsid w:val="006A032F"/>
    <w:rsid w:val="006A146E"/>
    <w:rsid w:val="006A1BEB"/>
    <w:rsid w:val="006A41AE"/>
    <w:rsid w:val="006A4856"/>
    <w:rsid w:val="006A5474"/>
    <w:rsid w:val="006A564B"/>
    <w:rsid w:val="006B1545"/>
    <w:rsid w:val="006B23B9"/>
    <w:rsid w:val="006B2DA7"/>
    <w:rsid w:val="006B2F4D"/>
    <w:rsid w:val="006B3682"/>
    <w:rsid w:val="006B3974"/>
    <w:rsid w:val="006B48CB"/>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118B"/>
    <w:rsid w:val="00711C66"/>
    <w:rsid w:val="00711E13"/>
    <w:rsid w:val="00712EDA"/>
    <w:rsid w:val="007136D0"/>
    <w:rsid w:val="007155A9"/>
    <w:rsid w:val="007158E1"/>
    <w:rsid w:val="00716AA6"/>
    <w:rsid w:val="0071705B"/>
    <w:rsid w:val="00720505"/>
    <w:rsid w:val="007236A3"/>
    <w:rsid w:val="007239B6"/>
    <w:rsid w:val="0072490A"/>
    <w:rsid w:val="0072517D"/>
    <w:rsid w:val="00726878"/>
    <w:rsid w:val="0073124A"/>
    <w:rsid w:val="00731B79"/>
    <w:rsid w:val="007320A2"/>
    <w:rsid w:val="00733893"/>
    <w:rsid w:val="00734A05"/>
    <w:rsid w:val="00735C6F"/>
    <w:rsid w:val="00742A6A"/>
    <w:rsid w:val="00742B44"/>
    <w:rsid w:val="007472D5"/>
    <w:rsid w:val="00753BB5"/>
    <w:rsid w:val="00755E4A"/>
    <w:rsid w:val="00756832"/>
    <w:rsid w:val="007626D0"/>
    <w:rsid w:val="007651CA"/>
    <w:rsid w:val="00767519"/>
    <w:rsid w:val="007704E1"/>
    <w:rsid w:val="00770E5C"/>
    <w:rsid w:val="00772569"/>
    <w:rsid w:val="00772E8C"/>
    <w:rsid w:val="007736D3"/>
    <w:rsid w:val="0077500F"/>
    <w:rsid w:val="0077548E"/>
    <w:rsid w:val="00777315"/>
    <w:rsid w:val="007802E4"/>
    <w:rsid w:val="00780919"/>
    <w:rsid w:val="00781589"/>
    <w:rsid w:val="007826C8"/>
    <w:rsid w:val="00784190"/>
    <w:rsid w:val="0078457B"/>
    <w:rsid w:val="00784756"/>
    <w:rsid w:val="0078539D"/>
    <w:rsid w:val="007856C1"/>
    <w:rsid w:val="00785B0F"/>
    <w:rsid w:val="00787051"/>
    <w:rsid w:val="0079018D"/>
    <w:rsid w:val="00791A00"/>
    <w:rsid w:val="00791DDB"/>
    <w:rsid w:val="00792CEE"/>
    <w:rsid w:val="007936A8"/>
    <w:rsid w:val="007962B4"/>
    <w:rsid w:val="00796F15"/>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DB8"/>
    <w:rsid w:val="007C5DCE"/>
    <w:rsid w:val="007C6CA2"/>
    <w:rsid w:val="007D05B2"/>
    <w:rsid w:val="007D0C44"/>
    <w:rsid w:val="007D1972"/>
    <w:rsid w:val="007D1F33"/>
    <w:rsid w:val="007D3307"/>
    <w:rsid w:val="007D5E27"/>
    <w:rsid w:val="007D6F64"/>
    <w:rsid w:val="007E25AB"/>
    <w:rsid w:val="007E44FC"/>
    <w:rsid w:val="007E5AC2"/>
    <w:rsid w:val="007E79C5"/>
    <w:rsid w:val="007F2845"/>
    <w:rsid w:val="007F43BC"/>
    <w:rsid w:val="007F4740"/>
    <w:rsid w:val="008006C6"/>
    <w:rsid w:val="00800C52"/>
    <w:rsid w:val="0080153E"/>
    <w:rsid w:val="008018C8"/>
    <w:rsid w:val="0080263A"/>
    <w:rsid w:val="0080329D"/>
    <w:rsid w:val="008055A9"/>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350F"/>
    <w:rsid w:val="00834358"/>
    <w:rsid w:val="008346BD"/>
    <w:rsid w:val="00834923"/>
    <w:rsid w:val="008359EB"/>
    <w:rsid w:val="00836B7A"/>
    <w:rsid w:val="00837B90"/>
    <w:rsid w:val="008409AA"/>
    <w:rsid w:val="00840FB8"/>
    <w:rsid w:val="00843A7A"/>
    <w:rsid w:val="008447F5"/>
    <w:rsid w:val="00846292"/>
    <w:rsid w:val="008506E1"/>
    <w:rsid w:val="008515EE"/>
    <w:rsid w:val="00851A8E"/>
    <w:rsid w:val="008528D3"/>
    <w:rsid w:val="00854553"/>
    <w:rsid w:val="00855B86"/>
    <w:rsid w:val="00860874"/>
    <w:rsid w:val="008609A3"/>
    <w:rsid w:val="00862008"/>
    <w:rsid w:val="00862720"/>
    <w:rsid w:val="008628C8"/>
    <w:rsid w:val="00862B2A"/>
    <w:rsid w:val="008630B9"/>
    <w:rsid w:val="00863F37"/>
    <w:rsid w:val="0086406B"/>
    <w:rsid w:val="00864C8C"/>
    <w:rsid w:val="008659FB"/>
    <w:rsid w:val="00867651"/>
    <w:rsid w:val="00874009"/>
    <w:rsid w:val="00874158"/>
    <w:rsid w:val="008743F3"/>
    <w:rsid w:val="0087444A"/>
    <w:rsid w:val="00875139"/>
    <w:rsid w:val="00875410"/>
    <w:rsid w:val="00880EDF"/>
    <w:rsid w:val="00882DE6"/>
    <w:rsid w:val="00883A20"/>
    <w:rsid w:val="00883D4D"/>
    <w:rsid w:val="00884B59"/>
    <w:rsid w:val="008850BA"/>
    <w:rsid w:val="00885876"/>
    <w:rsid w:val="00886185"/>
    <w:rsid w:val="008861D9"/>
    <w:rsid w:val="0088638C"/>
    <w:rsid w:val="00886EDF"/>
    <w:rsid w:val="008908E5"/>
    <w:rsid w:val="00891216"/>
    <w:rsid w:val="00894FDC"/>
    <w:rsid w:val="00896414"/>
    <w:rsid w:val="0089716F"/>
    <w:rsid w:val="008A0F54"/>
    <w:rsid w:val="008A16F9"/>
    <w:rsid w:val="008A1D3E"/>
    <w:rsid w:val="008A4B16"/>
    <w:rsid w:val="008A4D63"/>
    <w:rsid w:val="008A4E11"/>
    <w:rsid w:val="008A6D62"/>
    <w:rsid w:val="008B13E9"/>
    <w:rsid w:val="008B2257"/>
    <w:rsid w:val="008B2436"/>
    <w:rsid w:val="008B3B51"/>
    <w:rsid w:val="008B4057"/>
    <w:rsid w:val="008B4145"/>
    <w:rsid w:val="008B5071"/>
    <w:rsid w:val="008B5290"/>
    <w:rsid w:val="008B6A40"/>
    <w:rsid w:val="008C2CFD"/>
    <w:rsid w:val="008C3FDC"/>
    <w:rsid w:val="008C603A"/>
    <w:rsid w:val="008C71C8"/>
    <w:rsid w:val="008D167D"/>
    <w:rsid w:val="008D492A"/>
    <w:rsid w:val="008D4B58"/>
    <w:rsid w:val="008D4B7F"/>
    <w:rsid w:val="008D4B8A"/>
    <w:rsid w:val="008D6541"/>
    <w:rsid w:val="008D7D7B"/>
    <w:rsid w:val="008E0F52"/>
    <w:rsid w:val="008E2316"/>
    <w:rsid w:val="008E3063"/>
    <w:rsid w:val="008E34BE"/>
    <w:rsid w:val="008E3AA8"/>
    <w:rsid w:val="008E42CE"/>
    <w:rsid w:val="008E42F4"/>
    <w:rsid w:val="008E4333"/>
    <w:rsid w:val="008E5657"/>
    <w:rsid w:val="008E5E51"/>
    <w:rsid w:val="008F00DB"/>
    <w:rsid w:val="008F1264"/>
    <w:rsid w:val="008F47C6"/>
    <w:rsid w:val="008F6647"/>
    <w:rsid w:val="008F700E"/>
    <w:rsid w:val="009006A2"/>
    <w:rsid w:val="0090102B"/>
    <w:rsid w:val="00901448"/>
    <w:rsid w:val="009036BC"/>
    <w:rsid w:val="00903D30"/>
    <w:rsid w:val="00904414"/>
    <w:rsid w:val="00905C47"/>
    <w:rsid w:val="00906379"/>
    <w:rsid w:val="00906A8C"/>
    <w:rsid w:val="009101EA"/>
    <w:rsid w:val="009106FC"/>
    <w:rsid w:val="009118BB"/>
    <w:rsid w:val="0091191F"/>
    <w:rsid w:val="00911E7D"/>
    <w:rsid w:val="009120A9"/>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33BB"/>
    <w:rsid w:val="009643DA"/>
    <w:rsid w:val="0096485F"/>
    <w:rsid w:val="00967354"/>
    <w:rsid w:val="00971592"/>
    <w:rsid w:val="00971DDF"/>
    <w:rsid w:val="009731D6"/>
    <w:rsid w:val="00974746"/>
    <w:rsid w:val="00975119"/>
    <w:rsid w:val="009763ED"/>
    <w:rsid w:val="00976F04"/>
    <w:rsid w:val="009777F4"/>
    <w:rsid w:val="00977AD8"/>
    <w:rsid w:val="00980A10"/>
    <w:rsid w:val="00981130"/>
    <w:rsid w:val="00983D46"/>
    <w:rsid w:val="00983DCA"/>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AAC"/>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A72"/>
    <w:rsid w:val="009B7BB8"/>
    <w:rsid w:val="009C126A"/>
    <w:rsid w:val="009C1D4C"/>
    <w:rsid w:val="009C2DD2"/>
    <w:rsid w:val="009C3982"/>
    <w:rsid w:val="009C441F"/>
    <w:rsid w:val="009C4A07"/>
    <w:rsid w:val="009C4B8E"/>
    <w:rsid w:val="009C51D5"/>
    <w:rsid w:val="009C543C"/>
    <w:rsid w:val="009C599A"/>
    <w:rsid w:val="009C5EFF"/>
    <w:rsid w:val="009C650E"/>
    <w:rsid w:val="009C70DB"/>
    <w:rsid w:val="009D19BC"/>
    <w:rsid w:val="009D2348"/>
    <w:rsid w:val="009D2EA8"/>
    <w:rsid w:val="009D2F0C"/>
    <w:rsid w:val="009D3578"/>
    <w:rsid w:val="009D3A5F"/>
    <w:rsid w:val="009D5193"/>
    <w:rsid w:val="009D5C32"/>
    <w:rsid w:val="009D5C56"/>
    <w:rsid w:val="009D6472"/>
    <w:rsid w:val="009D79F4"/>
    <w:rsid w:val="009E126D"/>
    <w:rsid w:val="009E33D7"/>
    <w:rsid w:val="009E3CD1"/>
    <w:rsid w:val="009E5AF5"/>
    <w:rsid w:val="009E5EB5"/>
    <w:rsid w:val="009E74F0"/>
    <w:rsid w:val="009F0768"/>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43E4"/>
    <w:rsid w:val="00A2459D"/>
    <w:rsid w:val="00A24E23"/>
    <w:rsid w:val="00A2566C"/>
    <w:rsid w:val="00A25F05"/>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91B"/>
    <w:rsid w:val="00A50A48"/>
    <w:rsid w:val="00A51180"/>
    <w:rsid w:val="00A51242"/>
    <w:rsid w:val="00A51522"/>
    <w:rsid w:val="00A51573"/>
    <w:rsid w:val="00A51A5E"/>
    <w:rsid w:val="00A52895"/>
    <w:rsid w:val="00A53DA0"/>
    <w:rsid w:val="00A5404D"/>
    <w:rsid w:val="00A555A7"/>
    <w:rsid w:val="00A5765D"/>
    <w:rsid w:val="00A579BD"/>
    <w:rsid w:val="00A607CB"/>
    <w:rsid w:val="00A6351F"/>
    <w:rsid w:val="00A63809"/>
    <w:rsid w:val="00A64278"/>
    <w:rsid w:val="00A6519F"/>
    <w:rsid w:val="00A65A70"/>
    <w:rsid w:val="00A66F36"/>
    <w:rsid w:val="00A676D9"/>
    <w:rsid w:val="00A67EFC"/>
    <w:rsid w:val="00A7031E"/>
    <w:rsid w:val="00A71140"/>
    <w:rsid w:val="00A74692"/>
    <w:rsid w:val="00A75A52"/>
    <w:rsid w:val="00A7618B"/>
    <w:rsid w:val="00A7640B"/>
    <w:rsid w:val="00A7778B"/>
    <w:rsid w:val="00A803BC"/>
    <w:rsid w:val="00A80969"/>
    <w:rsid w:val="00A85798"/>
    <w:rsid w:val="00A8609D"/>
    <w:rsid w:val="00A86EA7"/>
    <w:rsid w:val="00A91244"/>
    <w:rsid w:val="00A91C7F"/>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3A15"/>
    <w:rsid w:val="00AB4ECC"/>
    <w:rsid w:val="00AB60E2"/>
    <w:rsid w:val="00AB6601"/>
    <w:rsid w:val="00AB674E"/>
    <w:rsid w:val="00AB6D79"/>
    <w:rsid w:val="00AB7806"/>
    <w:rsid w:val="00AC02C1"/>
    <w:rsid w:val="00AC0AB6"/>
    <w:rsid w:val="00AC10AD"/>
    <w:rsid w:val="00AC1E55"/>
    <w:rsid w:val="00AC3D06"/>
    <w:rsid w:val="00AC429F"/>
    <w:rsid w:val="00AC60B4"/>
    <w:rsid w:val="00AC7D98"/>
    <w:rsid w:val="00AD00C5"/>
    <w:rsid w:val="00AD165F"/>
    <w:rsid w:val="00AD2794"/>
    <w:rsid w:val="00AD2DC5"/>
    <w:rsid w:val="00AD3455"/>
    <w:rsid w:val="00AD3CAD"/>
    <w:rsid w:val="00AD5A99"/>
    <w:rsid w:val="00AD69FF"/>
    <w:rsid w:val="00AD702B"/>
    <w:rsid w:val="00AD72E6"/>
    <w:rsid w:val="00AD7C95"/>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302D"/>
    <w:rsid w:val="00B1513F"/>
    <w:rsid w:val="00B15B89"/>
    <w:rsid w:val="00B1746F"/>
    <w:rsid w:val="00B20725"/>
    <w:rsid w:val="00B2087E"/>
    <w:rsid w:val="00B20B94"/>
    <w:rsid w:val="00B248D0"/>
    <w:rsid w:val="00B2628E"/>
    <w:rsid w:val="00B266B0"/>
    <w:rsid w:val="00B27921"/>
    <w:rsid w:val="00B3000E"/>
    <w:rsid w:val="00B326A8"/>
    <w:rsid w:val="00B329EB"/>
    <w:rsid w:val="00B32FCD"/>
    <w:rsid w:val="00B33508"/>
    <w:rsid w:val="00B3377E"/>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25C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E9C"/>
    <w:rsid w:val="00B85522"/>
    <w:rsid w:val="00B90E2A"/>
    <w:rsid w:val="00B90F2A"/>
    <w:rsid w:val="00B9198D"/>
    <w:rsid w:val="00B92D25"/>
    <w:rsid w:val="00B93008"/>
    <w:rsid w:val="00B9406D"/>
    <w:rsid w:val="00B94BA7"/>
    <w:rsid w:val="00B94E0E"/>
    <w:rsid w:val="00B967B8"/>
    <w:rsid w:val="00B97CA3"/>
    <w:rsid w:val="00BA1913"/>
    <w:rsid w:val="00BA2BC9"/>
    <w:rsid w:val="00BA4641"/>
    <w:rsid w:val="00BA4A54"/>
    <w:rsid w:val="00BA76A9"/>
    <w:rsid w:val="00BB3E2B"/>
    <w:rsid w:val="00BB5D1C"/>
    <w:rsid w:val="00BB6552"/>
    <w:rsid w:val="00BB6B9B"/>
    <w:rsid w:val="00BB754F"/>
    <w:rsid w:val="00BC0058"/>
    <w:rsid w:val="00BC07D4"/>
    <w:rsid w:val="00BC0A5D"/>
    <w:rsid w:val="00BC0BE3"/>
    <w:rsid w:val="00BC1AD9"/>
    <w:rsid w:val="00BC32E7"/>
    <w:rsid w:val="00BC4F81"/>
    <w:rsid w:val="00BC58B9"/>
    <w:rsid w:val="00BD3056"/>
    <w:rsid w:val="00BD3846"/>
    <w:rsid w:val="00BD3E68"/>
    <w:rsid w:val="00BD4E05"/>
    <w:rsid w:val="00BD598A"/>
    <w:rsid w:val="00BD5C7A"/>
    <w:rsid w:val="00BD75B4"/>
    <w:rsid w:val="00BD7D14"/>
    <w:rsid w:val="00BE02B4"/>
    <w:rsid w:val="00BE3492"/>
    <w:rsid w:val="00BE4EC9"/>
    <w:rsid w:val="00BE631E"/>
    <w:rsid w:val="00BF0CCF"/>
    <w:rsid w:val="00BF0FC5"/>
    <w:rsid w:val="00BF10BC"/>
    <w:rsid w:val="00BF21AC"/>
    <w:rsid w:val="00BF2E53"/>
    <w:rsid w:val="00BF3669"/>
    <w:rsid w:val="00BF3C0D"/>
    <w:rsid w:val="00BF711C"/>
    <w:rsid w:val="00BF748E"/>
    <w:rsid w:val="00BF789B"/>
    <w:rsid w:val="00C03309"/>
    <w:rsid w:val="00C072FE"/>
    <w:rsid w:val="00C11ADE"/>
    <w:rsid w:val="00C12E39"/>
    <w:rsid w:val="00C13D47"/>
    <w:rsid w:val="00C14164"/>
    <w:rsid w:val="00C15D8E"/>
    <w:rsid w:val="00C17012"/>
    <w:rsid w:val="00C178FB"/>
    <w:rsid w:val="00C17DF9"/>
    <w:rsid w:val="00C20ACC"/>
    <w:rsid w:val="00C22B28"/>
    <w:rsid w:val="00C257B7"/>
    <w:rsid w:val="00C272E8"/>
    <w:rsid w:val="00C31FAA"/>
    <w:rsid w:val="00C33359"/>
    <w:rsid w:val="00C348D6"/>
    <w:rsid w:val="00C365E7"/>
    <w:rsid w:val="00C36E34"/>
    <w:rsid w:val="00C404EE"/>
    <w:rsid w:val="00C4171B"/>
    <w:rsid w:val="00C42689"/>
    <w:rsid w:val="00C42988"/>
    <w:rsid w:val="00C42BD4"/>
    <w:rsid w:val="00C43FF0"/>
    <w:rsid w:val="00C44641"/>
    <w:rsid w:val="00C45EF5"/>
    <w:rsid w:val="00C46B7E"/>
    <w:rsid w:val="00C47538"/>
    <w:rsid w:val="00C5099B"/>
    <w:rsid w:val="00C50A4E"/>
    <w:rsid w:val="00C51C37"/>
    <w:rsid w:val="00C520B1"/>
    <w:rsid w:val="00C522D6"/>
    <w:rsid w:val="00C52C52"/>
    <w:rsid w:val="00C54020"/>
    <w:rsid w:val="00C5406F"/>
    <w:rsid w:val="00C545C5"/>
    <w:rsid w:val="00C54F35"/>
    <w:rsid w:val="00C55566"/>
    <w:rsid w:val="00C57A01"/>
    <w:rsid w:val="00C60B07"/>
    <w:rsid w:val="00C61D4B"/>
    <w:rsid w:val="00C62B0A"/>
    <w:rsid w:val="00C63C52"/>
    <w:rsid w:val="00C63F08"/>
    <w:rsid w:val="00C6528C"/>
    <w:rsid w:val="00C661E8"/>
    <w:rsid w:val="00C70084"/>
    <w:rsid w:val="00C7235B"/>
    <w:rsid w:val="00C72E18"/>
    <w:rsid w:val="00C731AD"/>
    <w:rsid w:val="00C7380B"/>
    <w:rsid w:val="00C74421"/>
    <w:rsid w:val="00C75F2F"/>
    <w:rsid w:val="00C75FEE"/>
    <w:rsid w:val="00C76F1D"/>
    <w:rsid w:val="00C77937"/>
    <w:rsid w:val="00C77CA4"/>
    <w:rsid w:val="00C77D26"/>
    <w:rsid w:val="00C80BDF"/>
    <w:rsid w:val="00C815DF"/>
    <w:rsid w:val="00C82FEE"/>
    <w:rsid w:val="00C84D39"/>
    <w:rsid w:val="00C85277"/>
    <w:rsid w:val="00C85806"/>
    <w:rsid w:val="00C85D76"/>
    <w:rsid w:val="00C873AC"/>
    <w:rsid w:val="00C87DA6"/>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761D"/>
    <w:rsid w:val="00CD76B5"/>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910"/>
    <w:rsid w:val="00D27B8B"/>
    <w:rsid w:val="00D30CF0"/>
    <w:rsid w:val="00D31681"/>
    <w:rsid w:val="00D31B6E"/>
    <w:rsid w:val="00D3232B"/>
    <w:rsid w:val="00D3239F"/>
    <w:rsid w:val="00D324A4"/>
    <w:rsid w:val="00D3250C"/>
    <w:rsid w:val="00D328F6"/>
    <w:rsid w:val="00D345D4"/>
    <w:rsid w:val="00D3462C"/>
    <w:rsid w:val="00D35198"/>
    <w:rsid w:val="00D3584B"/>
    <w:rsid w:val="00D35A85"/>
    <w:rsid w:val="00D36964"/>
    <w:rsid w:val="00D4081B"/>
    <w:rsid w:val="00D413C3"/>
    <w:rsid w:val="00D42240"/>
    <w:rsid w:val="00D427C3"/>
    <w:rsid w:val="00D42EB8"/>
    <w:rsid w:val="00D43D3C"/>
    <w:rsid w:val="00D43E0B"/>
    <w:rsid w:val="00D44932"/>
    <w:rsid w:val="00D46111"/>
    <w:rsid w:val="00D4662F"/>
    <w:rsid w:val="00D47C16"/>
    <w:rsid w:val="00D502AF"/>
    <w:rsid w:val="00D50764"/>
    <w:rsid w:val="00D50C12"/>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5D78"/>
    <w:rsid w:val="00D66B04"/>
    <w:rsid w:val="00D67BC5"/>
    <w:rsid w:val="00D7021B"/>
    <w:rsid w:val="00D70D33"/>
    <w:rsid w:val="00D71E7F"/>
    <w:rsid w:val="00D71FBA"/>
    <w:rsid w:val="00D73077"/>
    <w:rsid w:val="00D736A2"/>
    <w:rsid w:val="00D73C57"/>
    <w:rsid w:val="00D742FF"/>
    <w:rsid w:val="00D758B3"/>
    <w:rsid w:val="00D76ADC"/>
    <w:rsid w:val="00D77413"/>
    <w:rsid w:val="00D81F10"/>
    <w:rsid w:val="00D82798"/>
    <w:rsid w:val="00D82BF2"/>
    <w:rsid w:val="00D84A57"/>
    <w:rsid w:val="00D874DF"/>
    <w:rsid w:val="00D87A12"/>
    <w:rsid w:val="00D930E1"/>
    <w:rsid w:val="00D9354D"/>
    <w:rsid w:val="00D9415C"/>
    <w:rsid w:val="00D942CC"/>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E06"/>
    <w:rsid w:val="00DB6A80"/>
    <w:rsid w:val="00DB6C06"/>
    <w:rsid w:val="00DB7B06"/>
    <w:rsid w:val="00DC318A"/>
    <w:rsid w:val="00DC3A9D"/>
    <w:rsid w:val="00DC6C1E"/>
    <w:rsid w:val="00DC7255"/>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11B7"/>
    <w:rsid w:val="00DF4359"/>
    <w:rsid w:val="00DF73C1"/>
    <w:rsid w:val="00DF7511"/>
    <w:rsid w:val="00DF7751"/>
    <w:rsid w:val="00E009B1"/>
    <w:rsid w:val="00E011D7"/>
    <w:rsid w:val="00E031BB"/>
    <w:rsid w:val="00E0576C"/>
    <w:rsid w:val="00E068BC"/>
    <w:rsid w:val="00E073F0"/>
    <w:rsid w:val="00E10761"/>
    <w:rsid w:val="00E11D7A"/>
    <w:rsid w:val="00E11EEB"/>
    <w:rsid w:val="00E128F2"/>
    <w:rsid w:val="00E13EE4"/>
    <w:rsid w:val="00E16463"/>
    <w:rsid w:val="00E20B20"/>
    <w:rsid w:val="00E239D1"/>
    <w:rsid w:val="00E246B9"/>
    <w:rsid w:val="00E26727"/>
    <w:rsid w:val="00E26970"/>
    <w:rsid w:val="00E2728F"/>
    <w:rsid w:val="00E27791"/>
    <w:rsid w:val="00E30F2D"/>
    <w:rsid w:val="00E319DB"/>
    <w:rsid w:val="00E31AFC"/>
    <w:rsid w:val="00E3250F"/>
    <w:rsid w:val="00E3409E"/>
    <w:rsid w:val="00E34F76"/>
    <w:rsid w:val="00E37BE5"/>
    <w:rsid w:val="00E41A27"/>
    <w:rsid w:val="00E41AB4"/>
    <w:rsid w:val="00E44906"/>
    <w:rsid w:val="00E45C77"/>
    <w:rsid w:val="00E4608B"/>
    <w:rsid w:val="00E46D7F"/>
    <w:rsid w:val="00E501D3"/>
    <w:rsid w:val="00E53A01"/>
    <w:rsid w:val="00E564C4"/>
    <w:rsid w:val="00E567C9"/>
    <w:rsid w:val="00E604C4"/>
    <w:rsid w:val="00E60809"/>
    <w:rsid w:val="00E61300"/>
    <w:rsid w:val="00E635B9"/>
    <w:rsid w:val="00E65D15"/>
    <w:rsid w:val="00E66CD8"/>
    <w:rsid w:val="00E67802"/>
    <w:rsid w:val="00E67EE5"/>
    <w:rsid w:val="00E7013A"/>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A29"/>
    <w:rsid w:val="00E96B28"/>
    <w:rsid w:val="00E96FE6"/>
    <w:rsid w:val="00EA1059"/>
    <w:rsid w:val="00EA1D43"/>
    <w:rsid w:val="00EA4EC9"/>
    <w:rsid w:val="00EA568E"/>
    <w:rsid w:val="00EA5E0F"/>
    <w:rsid w:val="00EA6FE4"/>
    <w:rsid w:val="00EA798D"/>
    <w:rsid w:val="00EA7F4C"/>
    <w:rsid w:val="00EB1D47"/>
    <w:rsid w:val="00EB2146"/>
    <w:rsid w:val="00EB2317"/>
    <w:rsid w:val="00EB26C6"/>
    <w:rsid w:val="00EB279B"/>
    <w:rsid w:val="00EB2ABB"/>
    <w:rsid w:val="00EB2B18"/>
    <w:rsid w:val="00EB584C"/>
    <w:rsid w:val="00EB5863"/>
    <w:rsid w:val="00EB5D88"/>
    <w:rsid w:val="00EB6D14"/>
    <w:rsid w:val="00EB7307"/>
    <w:rsid w:val="00EB772D"/>
    <w:rsid w:val="00EC14B0"/>
    <w:rsid w:val="00EC204E"/>
    <w:rsid w:val="00EC249E"/>
    <w:rsid w:val="00EC2CFF"/>
    <w:rsid w:val="00EC2DFB"/>
    <w:rsid w:val="00EC37EE"/>
    <w:rsid w:val="00EC4904"/>
    <w:rsid w:val="00EC5F2F"/>
    <w:rsid w:val="00EC651E"/>
    <w:rsid w:val="00EC65E5"/>
    <w:rsid w:val="00EC692E"/>
    <w:rsid w:val="00EC745E"/>
    <w:rsid w:val="00EC775C"/>
    <w:rsid w:val="00EC7EAF"/>
    <w:rsid w:val="00ED27C3"/>
    <w:rsid w:val="00ED2C5A"/>
    <w:rsid w:val="00ED33AE"/>
    <w:rsid w:val="00ED3775"/>
    <w:rsid w:val="00ED4A6D"/>
    <w:rsid w:val="00ED6D4A"/>
    <w:rsid w:val="00ED738C"/>
    <w:rsid w:val="00ED7918"/>
    <w:rsid w:val="00ED7FD3"/>
    <w:rsid w:val="00EE0E5D"/>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30E"/>
    <w:rsid w:val="00F00CD1"/>
    <w:rsid w:val="00F01E6B"/>
    <w:rsid w:val="00F0241C"/>
    <w:rsid w:val="00F031EE"/>
    <w:rsid w:val="00F05759"/>
    <w:rsid w:val="00F064EC"/>
    <w:rsid w:val="00F07F39"/>
    <w:rsid w:val="00F10CB9"/>
    <w:rsid w:val="00F110D5"/>
    <w:rsid w:val="00F12351"/>
    <w:rsid w:val="00F15193"/>
    <w:rsid w:val="00F16739"/>
    <w:rsid w:val="00F16DE2"/>
    <w:rsid w:val="00F2052B"/>
    <w:rsid w:val="00F2260F"/>
    <w:rsid w:val="00F242AD"/>
    <w:rsid w:val="00F247F2"/>
    <w:rsid w:val="00F2518F"/>
    <w:rsid w:val="00F252A8"/>
    <w:rsid w:val="00F265F7"/>
    <w:rsid w:val="00F27FA6"/>
    <w:rsid w:val="00F33DC8"/>
    <w:rsid w:val="00F34444"/>
    <w:rsid w:val="00F378F1"/>
    <w:rsid w:val="00F403DB"/>
    <w:rsid w:val="00F4065A"/>
    <w:rsid w:val="00F4275C"/>
    <w:rsid w:val="00F45693"/>
    <w:rsid w:val="00F52339"/>
    <w:rsid w:val="00F5277A"/>
    <w:rsid w:val="00F532E8"/>
    <w:rsid w:val="00F537FF"/>
    <w:rsid w:val="00F54E36"/>
    <w:rsid w:val="00F560FE"/>
    <w:rsid w:val="00F60CD6"/>
    <w:rsid w:val="00F6111C"/>
    <w:rsid w:val="00F614C0"/>
    <w:rsid w:val="00F61647"/>
    <w:rsid w:val="00F657CF"/>
    <w:rsid w:val="00F65808"/>
    <w:rsid w:val="00F66A00"/>
    <w:rsid w:val="00F66CFB"/>
    <w:rsid w:val="00F713A3"/>
    <w:rsid w:val="00F71A8F"/>
    <w:rsid w:val="00F75330"/>
    <w:rsid w:val="00F76BD9"/>
    <w:rsid w:val="00F80318"/>
    <w:rsid w:val="00F80703"/>
    <w:rsid w:val="00F80948"/>
    <w:rsid w:val="00F81387"/>
    <w:rsid w:val="00F822E3"/>
    <w:rsid w:val="00F82866"/>
    <w:rsid w:val="00F841FB"/>
    <w:rsid w:val="00F84421"/>
    <w:rsid w:val="00F8449B"/>
    <w:rsid w:val="00F85691"/>
    <w:rsid w:val="00F87032"/>
    <w:rsid w:val="00F87094"/>
    <w:rsid w:val="00F87AB3"/>
    <w:rsid w:val="00F913DC"/>
    <w:rsid w:val="00F91DDA"/>
    <w:rsid w:val="00F9397A"/>
    <w:rsid w:val="00F93A37"/>
    <w:rsid w:val="00F94182"/>
    <w:rsid w:val="00F944D9"/>
    <w:rsid w:val="00F94DB3"/>
    <w:rsid w:val="00F96500"/>
    <w:rsid w:val="00FA31E7"/>
    <w:rsid w:val="00FA413A"/>
    <w:rsid w:val="00FA4144"/>
    <w:rsid w:val="00FA4DDF"/>
    <w:rsid w:val="00FA645E"/>
    <w:rsid w:val="00FA6E7F"/>
    <w:rsid w:val="00FA7114"/>
    <w:rsid w:val="00FB22D7"/>
    <w:rsid w:val="00FB2379"/>
    <w:rsid w:val="00FB3CB7"/>
    <w:rsid w:val="00FB4B8A"/>
    <w:rsid w:val="00FB5152"/>
    <w:rsid w:val="00FB5F8F"/>
    <w:rsid w:val="00FB680E"/>
    <w:rsid w:val="00FB7A0B"/>
    <w:rsid w:val="00FC0065"/>
    <w:rsid w:val="00FC062F"/>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6822"/>
    <w:rsid w:val="00FF73D0"/>
    <w:rsid w:val="10E807B4"/>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5AIRPNAIUNRU-1830940522-1870</_dlc_DocId>
    <_dlc_DocIdUrl xmlns="71c5aaf6-e6ce-465b-b873-5148d2a4c105">
      <Url>https://nokia.sharepoint.com/sites/c5g/5gradio/_layouts/15/DocIdRedir.aspx?ID=5AIRPNAIUNRU-1830940522-1870</Url>
      <Description>5AIRPNAIUNRU-1830940522-1870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E1AB48A9-4C1C-4B81-8855-2A5EA296EA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DEFA289-491F-4E54-B646-C015614AF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57</TotalTime>
  <Pages>10</Pages>
  <Words>3699</Words>
  <Characters>29969</Characters>
  <Application>Microsoft Office Word</Application>
  <DocSecurity>0</DocSecurity>
  <Lines>249</Lines>
  <Paragraphs>67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33601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Ranta-Aho, Karri (Nokia - FI/Espoo)</cp:lastModifiedBy>
  <cp:revision>12</cp:revision>
  <cp:lastPrinted>2016-06-20T11:35:00Z</cp:lastPrinted>
  <dcterms:created xsi:type="dcterms:W3CDTF">2017-09-11T10:12:00Z</dcterms:created>
  <dcterms:modified xsi:type="dcterms:W3CDTF">2017-09-11T18:36:00Z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63f29013-7037-43fb-bd6a-3cf6c7edac95</vt:lpwstr>
  </property>
</Properties>
</file>